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3BC5" w:rsidRPr="00465176" w:rsidRDefault="007C3BC5" w:rsidP="007C3BC5">
      <w:pPr>
        <w:tabs>
          <w:tab w:val="left" w:pos="284"/>
        </w:tabs>
        <w:jc w:val="center"/>
        <w:rPr>
          <w:b/>
          <w:iCs/>
        </w:rPr>
      </w:pPr>
      <w:r w:rsidRPr="00465176">
        <w:rPr>
          <w:b/>
          <w:iCs/>
        </w:rPr>
        <w:t>Приватне акціонерне товариство "РОДОС"</w:t>
      </w:r>
    </w:p>
    <w:p w:rsidR="007C3BC5" w:rsidRPr="00465176" w:rsidRDefault="007C3BC5" w:rsidP="007C3BC5">
      <w:pPr>
        <w:tabs>
          <w:tab w:val="left" w:pos="284"/>
        </w:tabs>
        <w:jc w:val="both"/>
        <w:rPr>
          <w:b/>
          <w:iCs/>
        </w:rPr>
      </w:pPr>
      <w:r w:rsidRPr="00465176">
        <w:t>(місцезнаходження: м. Київ, вул. Ломоносова, буд. 58)</w:t>
      </w:r>
      <w:r w:rsidRPr="00465176">
        <w:rPr>
          <w:iCs/>
        </w:rPr>
        <w:t xml:space="preserve"> (</w:t>
      </w:r>
      <w:r w:rsidRPr="00465176">
        <w:t>далі – Товариство) повідомляє про скликання річних загальних зборів акціонерів Товариства (далі – загальні збори), які будуть проведені дистанційно у порядку, передбаченому Тимчасовим порядком скликання та дистанційного проведення загальних зборів акціонерів та загальних зборів учасників корпоративного інвестиційного фонду, затвердженим рішенням Національної комісії з цінних паперів та фондового ринку від 16.04.2021 №196 (далі – Тимчасовий порядок).</w:t>
      </w:r>
    </w:p>
    <w:p w:rsidR="007C3BC5" w:rsidRPr="00465176" w:rsidRDefault="007C3BC5" w:rsidP="007C3BC5">
      <w:pPr>
        <w:jc w:val="both"/>
      </w:pPr>
      <w:r w:rsidRPr="00465176">
        <w:t xml:space="preserve">Дата проведення загальних зборів (дата завершення голосування) – 18 липня 2022 року. </w:t>
      </w:r>
    </w:p>
    <w:p w:rsidR="007C3BC5" w:rsidRPr="00465176" w:rsidRDefault="007C3BC5" w:rsidP="007C3BC5">
      <w:pPr>
        <w:jc w:val="both"/>
      </w:pPr>
      <w:r w:rsidRPr="00465176">
        <w:t>Дата розміщення єдиного бюлетеня для голосування (дата початку голосування) – 08 липня 2022р.</w:t>
      </w:r>
    </w:p>
    <w:p w:rsidR="007C3BC5" w:rsidRPr="00465176" w:rsidRDefault="007C3BC5" w:rsidP="007C3BC5">
      <w:pPr>
        <w:jc w:val="both"/>
      </w:pPr>
      <w:r w:rsidRPr="00465176">
        <w:t xml:space="preserve">Єдиний бюлетень для голосування розміщуватиметься у вільному для акціонерів доступі на власному вебсайті Товариства </w:t>
      </w:r>
      <w:r w:rsidRPr="00465176">
        <w:rPr>
          <w:rStyle w:val="a4"/>
        </w:rPr>
        <w:t>http://rodos.com.ua</w:t>
      </w:r>
      <w:r w:rsidRPr="00465176">
        <w:t xml:space="preserve">. </w:t>
      </w:r>
    </w:p>
    <w:p w:rsidR="007C3BC5" w:rsidRPr="00465176" w:rsidRDefault="007C3BC5" w:rsidP="007C3BC5">
      <w:pPr>
        <w:jc w:val="both"/>
        <w:rPr>
          <w:b/>
          <w:iCs/>
        </w:rPr>
      </w:pPr>
      <w:r w:rsidRPr="00465176">
        <w:t>Дата складення переліку акціонерів, які мають право на участь у загальних зборах акціонерів, – 12 липня 2022р.</w:t>
      </w:r>
    </w:p>
    <w:p w:rsidR="007C3BC5" w:rsidRPr="00465176" w:rsidRDefault="007C3BC5" w:rsidP="007C3BC5">
      <w:pPr>
        <w:jc w:val="center"/>
      </w:pPr>
      <w:bookmarkStart w:id="0" w:name="_GoBack"/>
      <w:bookmarkEnd w:id="0"/>
      <w:r w:rsidRPr="00465176">
        <w:t>Проект порядку денного:</w:t>
      </w:r>
    </w:p>
    <w:p w:rsidR="007C3BC5" w:rsidRPr="00465176" w:rsidRDefault="007C3BC5" w:rsidP="007C3BC5">
      <w:pPr>
        <w:jc w:val="both"/>
      </w:pPr>
      <w:r w:rsidRPr="00465176">
        <w:rPr>
          <w:lang w:val="ru-RU"/>
        </w:rPr>
        <w:t>1</w:t>
      </w:r>
      <w:r w:rsidRPr="00465176">
        <w:t>. Звіт директора та прийняття рішення за наслідками розгляду звіту директора.</w:t>
      </w:r>
    </w:p>
    <w:p w:rsidR="007C3BC5" w:rsidRPr="00465176" w:rsidRDefault="007C3BC5" w:rsidP="007C3BC5">
      <w:pPr>
        <w:jc w:val="both"/>
        <w:rPr>
          <w:bCs/>
        </w:rPr>
      </w:pPr>
      <w:r w:rsidRPr="00465176">
        <w:rPr>
          <w:rStyle w:val="a3"/>
          <w:u w:val="single"/>
        </w:rPr>
        <w:t>Проект рішення</w:t>
      </w:r>
      <w:r w:rsidRPr="00465176">
        <w:t>:</w:t>
      </w:r>
      <w:r w:rsidRPr="00465176">
        <w:rPr>
          <w:bCs/>
        </w:rPr>
        <w:t xml:space="preserve"> Затвердити звіт директора </w:t>
      </w:r>
      <w:r w:rsidRPr="00465176">
        <w:t>про результати фінансово-господарської діяльності</w:t>
      </w:r>
      <w:r w:rsidRPr="00465176">
        <w:br/>
      </w:r>
      <w:r w:rsidRPr="00465176">
        <w:rPr>
          <w:bCs/>
        </w:rPr>
        <w:t>за 202</w:t>
      </w:r>
      <w:r w:rsidRPr="00465176">
        <w:rPr>
          <w:bCs/>
          <w:lang w:val="ru-RU"/>
        </w:rPr>
        <w:t>1</w:t>
      </w:r>
      <w:r w:rsidRPr="00465176">
        <w:rPr>
          <w:bCs/>
        </w:rPr>
        <w:t xml:space="preserve"> рік.</w:t>
      </w:r>
    </w:p>
    <w:p w:rsidR="007C3BC5" w:rsidRPr="00465176" w:rsidRDefault="007C3BC5" w:rsidP="007C3BC5">
      <w:pPr>
        <w:jc w:val="both"/>
      </w:pPr>
      <w:r w:rsidRPr="00465176">
        <w:rPr>
          <w:lang w:val="ru-RU"/>
        </w:rPr>
        <w:t>2</w:t>
      </w:r>
      <w:r w:rsidRPr="00465176">
        <w:t>. Звіт наглядової ради та прийняття рішення за наслідками розгляду звіту наглядової ради.</w:t>
      </w:r>
    </w:p>
    <w:p w:rsidR="007C3BC5" w:rsidRPr="00465176" w:rsidRDefault="007C3BC5" w:rsidP="007C3BC5">
      <w:pPr>
        <w:jc w:val="both"/>
      </w:pPr>
      <w:r w:rsidRPr="00465176">
        <w:rPr>
          <w:rStyle w:val="a3"/>
          <w:u w:val="single"/>
        </w:rPr>
        <w:t>Проект рішення</w:t>
      </w:r>
      <w:r w:rsidRPr="00465176">
        <w:t>:</w:t>
      </w:r>
      <w:r w:rsidRPr="00465176">
        <w:rPr>
          <w:bCs/>
        </w:rPr>
        <w:t xml:space="preserve"> Затвердити звіт </w:t>
      </w:r>
      <w:r w:rsidRPr="00465176">
        <w:t>наглядової ради</w:t>
      </w:r>
      <w:r w:rsidRPr="00465176">
        <w:rPr>
          <w:bCs/>
        </w:rPr>
        <w:t xml:space="preserve"> за 202</w:t>
      </w:r>
      <w:r w:rsidRPr="00465176">
        <w:rPr>
          <w:bCs/>
          <w:lang w:val="ru-RU"/>
        </w:rPr>
        <w:t>1</w:t>
      </w:r>
      <w:r w:rsidRPr="00465176">
        <w:rPr>
          <w:bCs/>
        </w:rPr>
        <w:t xml:space="preserve"> рік.</w:t>
      </w:r>
    </w:p>
    <w:p w:rsidR="007C3BC5" w:rsidRPr="00465176" w:rsidRDefault="007C3BC5" w:rsidP="007C3BC5">
      <w:pPr>
        <w:jc w:val="both"/>
        <w:rPr>
          <w:bCs/>
        </w:rPr>
      </w:pPr>
      <w:r w:rsidRPr="00465176">
        <w:rPr>
          <w:bCs/>
          <w:lang w:val="ru-RU"/>
        </w:rPr>
        <w:t>3</w:t>
      </w:r>
      <w:r w:rsidRPr="00465176">
        <w:rPr>
          <w:bCs/>
        </w:rPr>
        <w:t>. Затвердження річного звіту</w:t>
      </w:r>
      <w:r w:rsidRPr="00465176">
        <w:t>.</w:t>
      </w:r>
    </w:p>
    <w:p w:rsidR="007C3BC5" w:rsidRPr="00465176" w:rsidRDefault="007C3BC5" w:rsidP="007C3BC5">
      <w:pPr>
        <w:jc w:val="both"/>
        <w:rPr>
          <w:bCs/>
        </w:rPr>
      </w:pPr>
      <w:r w:rsidRPr="00465176">
        <w:rPr>
          <w:rStyle w:val="a3"/>
          <w:u w:val="single"/>
        </w:rPr>
        <w:t>Проект рішення</w:t>
      </w:r>
      <w:r w:rsidRPr="00465176">
        <w:t>:</w:t>
      </w:r>
      <w:r w:rsidRPr="00465176">
        <w:rPr>
          <w:bCs/>
        </w:rPr>
        <w:t xml:space="preserve"> Затвердити річний звіт за 202</w:t>
      </w:r>
      <w:r w:rsidRPr="00465176">
        <w:rPr>
          <w:bCs/>
          <w:lang w:val="ru-RU"/>
        </w:rPr>
        <w:t>1</w:t>
      </w:r>
      <w:r w:rsidRPr="00465176">
        <w:rPr>
          <w:bCs/>
        </w:rPr>
        <w:t xml:space="preserve"> рік.</w:t>
      </w:r>
    </w:p>
    <w:p w:rsidR="007C3BC5" w:rsidRPr="00465176" w:rsidRDefault="007C3BC5" w:rsidP="007C3BC5">
      <w:pPr>
        <w:jc w:val="both"/>
        <w:rPr>
          <w:bCs/>
        </w:rPr>
      </w:pPr>
      <w:r w:rsidRPr="00465176">
        <w:rPr>
          <w:bCs/>
          <w:lang w:val="ru-RU"/>
        </w:rPr>
        <w:t>4</w:t>
      </w:r>
      <w:r w:rsidRPr="00465176">
        <w:rPr>
          <w:bCs/>
        </w:rPr>
        <w:t xml:space="preserve">. Розподіл прибутку і збитків. </w:t>
      </w:r>
      <w:r w:rsidRPr="00465176">
        <w:t>Затвердження способу виплати дивідендів.</w:t>
      </w:r>
    </w:p>
    <w:p w:rsidR="007C3BC5" w:rsidRPr="00465176" w:rsidRDefault="007C3BC5" w:rsidP="007C3BC5">
      <w:pPr>
        <w:shd w:val="clear" w:color="auto" w:fill="FFFFFF"/>
        <w:jc w:val="both"/>
        <w:rPr>
          <w:color w:val="000000"/>
          <w:sz w:val="21"/>
          <w:szCs w:val="21"/>
          <w:lang w:val="ru-RU"/>
        </w:rPr>
      </w:pPr>
      <w:r w:rsidRPr="00465176">
        <w:rPr>
          <w:rStyle w:val="a3"/>
          <w:u w:val="single"/>
        </w:rPr>
        <w:t>Проект рішення</w:t>
      </w:r>
      <w:r w:rsidRPr="00465176">
        <w:t>:</w:t>
      </w:r>
      <w:r w:rsidRPr="00465176">
        <w:rPr>
          <w:bCs/>
        </w:rPr>
        <w:t xml:space="preserve"> </w:t>
      </w:r>
      <w:r w:rsidRPr="00465176">
        <w:rPr>
          <w:color w:val="000000"/>
          <w:lang w:val="ru-RU"/>
        </w:rPr>
        <w:t>Чистий прибуток товариства за 2021 рік в розмірі 5064883,68 грн. розподілити наступним чином: 5022564,00 грн. направити на виплату дивідендів (3,00 грн. на одну акцію); 42319,68 грн. нерозподіленого прибутку використовувати для покриття непередбачуваних потреб та збитків.</w:t>
      </w:r>
    </w:p>
    <w:p w:rsidR="007C3BC5" w:rsidRPr="00465176" w:rsidRDefault="007C3BC5" w:rsidP="007C3BC5">
      <w:pPr>
        <w:shd w:val="clear" w:color="auto" w:fill="FFFFFF"/>
        <w:jc w:val="both"/>
        <w:rPr>
          <w:color w:val="000000"/>
        </w:rPr>
      </w:pPr>
      <w:r w:rsidRPr="00465176">
        <w:rPr>
          <w:color w:val="000000"/>
          <w:lang w:val="ru-RU"/>
        </w:rPr>
        <w:t>Затвердити спосіб виплати дивідендів - безпосередньо акціонерам.</w:t>
      </w:r>
    </w:p>
    <w:p w:rsidR="007C3BC5" w:rsidRPr="00465176" w:rsidRDefault="007C3BC5" w:rsidP="007C3BC5">
      <w:pPr>
        <w:tabs>
          <w:tab w:val="left" w:pos="284"/>
        </w:tabs>
        <w:jc w:val="center"/>
        <w:rPr>
          <w:iCs/>
        </w:rPr>
      </w:pPr>
      <w:r w:rsidRPr="00465176">
        <w:rPr>
          <w:iCs/>
        </w:rPr>
        <w:t>Основні показники фінансово-господарської діяльності підприємства (тис. грн.)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2"/>
        <w:gridCol w:w="1688"/>
        <w:gridCol w:w="1533"/>
      </w:tblGrid>
      <w:tr w:rsidR="007C3BC5" w:rsidRPr="00465176" w:rsidTr="000D5EA5">
        <w:tc>
          <w:tcPr>
            <w:tcW w:w="6582" w:type="dxa"/>
            <w:vMerge w:val="restart"/>
            <w:shd w:val="clear" w:color="auto" w:fill="auto"/>
          </w:tcPr>
          <w:p w:rsidR="007C3BC5" w:rsidRPr="00465176" w:rsidRDefault="007C3BC5" w:rsidP="000D5EA5">
            <w:pPr>
              <w:tabs>
                <w:tab w:val="left" w:pos="284"/>
              </w:tabs>
              <w:jc w:val="center"/>
              <w:rPr>
                <w:iCs/>
              </w:rPr>
            </w:pPr>
            <w:r w:rsidRPr="00465176">
              <w:rPr>
                <w:iCs/>
              </w:rPr>
              <w:t>Найменування показника</w:t>
            </w:r>
          </w:p>
        </w:tc>
        <w:tc>
          <w:tcPr>
            <w:tcW w:w="3221" w:type="dxa"/>
            <w:gridSpan w:val="2"/>
            <w:shd w:val="clear" w:color="auto" w:fill="auto"/>
          </w:tcPr>
          <w:p w:rsidR="007C3BC5" w:rsidRPr="00465176" w:rsidRDefault="007C3BC5" w:rsidP="000D5EA5">
            <w:pPr>
              <w:tabs>
                <w:tab w:val="left" w:pos="284"/>
              </w:tabs>
              <w:jc w:val="center"/>
              <w:rPr>
                <w:iCs/>
              </w:rPr>
            </w:pPr>
            <w:r w:rsidRPr="00465176">
              <w:rPr>
                <w:iCs/>
              </w:rPr>
              <w:t>період</w:t>
            </w:r>
          </w:p>
        </w:tc>
      </w:tr>
      <w:tr w:rsidR="007C3BC5" w:rsidRPr="00465176" w:rsidTr="000D5EA5">
        <w:tc>
          <w:tcPr>
            <w:tcW w:w="6582" w:type="dxa"/>
            <w:vMerge/>
            <w:shd w:val="clear" w:color="auto" w:fill="auto"/>
          </w:tcPr>
          <w:p w:rsidR="007C3BC5" w:rsidRPr="00465176" w:rsidRDefault="007C3BC5" w:rsidP="000D5EA5">
            <w:pPr>
              <w:tabs>
                <w:tab w:val="left" w:pos="284"/>
              </w:tabs>
              <w:jc w:val="both"/>
              <w:rPr>
                <w:iCs/>
              </w:rPr>
            </w:pPr>
          </w:p>
        </w:tc>
        <w:tc>
          <w:tcPr>
            <w:tcW w:w="1688" w:type="dxa"/>
            <w:shd w:val="clear" w:color="auto" w:fill="auto"/>
          </w:tcPr>
          <w:p w:rsidR="007C3BC5" w:rsidRPr="00465176" w:rsidRDefault="007C3BC5" w:rsidP="000D5EA5">
            <w:pPr>
              <w:tabs>
                <w:tab w:val="left" w:pos="284"/>
              </w:tabs>
              <w:jc w:val="center"/>
              <w:rPr>
                <w:iCs/>
              </w:rPr>
            </w:pPr>
            <w:r w:rsidRPr="00465176">
              <w:rPr>
                <w:iCs/>
              </w:rPr>
              <w:t>звітний</w:t>
            </w:r>
          </w:p>
        </w:tc>
        <w:tc>
          <w:tcPr>
            <w:tcW w:w="1533" w:type="dxa"/>
            <w:shd w:val="clear" w:color="auto" w:fill="auto"/>
          </w:tcPr>
          <w:p w:rsidR="007C3BC5" w:rsidRPr="00465176" w:rsidRDefault="007C3BC5" w:rsidP="000D5EA5">
            <w:pPr>
              <w:tabs>
                <w:tab w:val="left" w:pos="284"/>
              </w:tabs>
              <w:jc w:val="center"/>
              <w:rPr>
                <w:iCs/>
              </w:rPr>
            </w:pPr>
            <w:r w:rsidRPr="00465176">
              <w:rPr>
                <w:iCs/>
              </w:rPr>
              <w:t>попередній</w:t>
            </w:r>
          </w:p>
        </w:tc>
      </w:tr>
      <w:tr w:rsidR="007C3BC5" w:rsidRPr="00465176" w:rsidTr="000D5EA5">
        <w:tc>
          <w:tcPr>
            <w:tcW w:w="6582" w:type="dxa"/>
            <w:shd w:val="clear" w:color="auto" w:fill="auto"/>
          </w:tcPr>
          <w:p w:rsidR="007C3BC5" w:rsidRPr="00465176" w:rsidRDefault="007C3BC5" w:rsidP="000D5EA5">
            <w:pPr>
              <w:tabs>
                <w:tab w:val="left" w:pos="284"/>
              </w:tabs>
              <w:jc w:val="both"/>
              <w:rPr>
                <w:iCs/>
              </w:rPr>
            </w:pPr>
            <w:r w:rsidRPr="00465176">
              <w:rPr>
                <w:iCs/>
              </w:rPr>
              <w:t>Усього активів</w:t>
            </w:r>
          </w:p>
        </w:tc>
        <w:tc>
          <w:tcPr>
            <w:tcW w:w="1688" w:type="dxa"/>
            <w:shd w:val="clear" w:color="auto" w:fill="auto"/>
          </w:tcPr>
          <w:p w:rsidR="007C3BC5" w:rsidRPr="00465176" w:rsidRDefault="007C3BC5" w:rsidP="000D5EA5">
            <w:pPr>
              <w:jc w:val="center"/>
              <w:rPr>
                <w:lang w:val="ru-RU"/>
              </w:rPr>
            </w:pPr>
            <w:r w:rsidRPr="00465176">
              <w:rPr>
                <w:lang w:val="ru-RU"/>
              </w:rPr>
              <w:t>60208,5</w:t>
            </w:r>
          </w:p>
        </w:tc>
        <w:tc>
          <w:tcPr>
            <w:tcW w:w="1533" w:type="dxa"/>
            <w:shd w:val="clear" w:color="auto" w:fill="auto"/>
          </w:tcPr>
          <w:p w:rsidR="007C3BC5" w:rsidRPr="00465176" w:rsidRDefault="007C3BC5" w:rsidP="000D5EA5">
            <w:pPr>
              <w:jc w:val="center"/>
            </w:pPr>
            <w:r w:rsidRPr="00465176">
              <w:t>59093,1</w:t>
            </w:r>
          </w:p>
        </w:tc>
      </w:tr>
      <w:tr w:rsidR="007C3BC5" w:rsidRPr="00465176" w:rsidTr="000D5EA5">
        <w:tc>
          <w:tcPr>
            <w:tcW w:w="6582" w:type="dxa"/>
            <w:shd w:val="clear" w:color="auto" w:fill="auto"/>
          </w:tcPr>
          <w:p w:rsidR="007C3BC5" w:rsidRPr="00465176" w:rsidRDefault="007C3BC5" w:rsidP="000D5EA5">
            <w:pPr>
              <w:tabs>
                <w:tab w:val="left" w:pos="284"/>
              </w:tabs>
              <w:jc w:val="both"/>
              <w:rPr>
                <w:iCs/>
              </w:rPr>
            </w:pPr>
            <w:r w:rsidRPr="00465176">
              <w:rPr>
                <w:iCs/>
              </w:rPr>
              <w:t>Основні засоби (за залишковою вартістю)</w:t>
            </w:r>
          </w:p>
        </w:tc>
        <w:tc>
          <w:tcPr>
            <w:tcW w:w="1688" w:type="dxa"/>
            <w:shd w:val="clear" w:color="auto" w:fill="auto"/>
          </w:tcPr>
          <w:p w:rsidR="007C3BC5" w:rsidRPr="00465176" w:rsidRDefault="007C3BC5" w:rsidP="000D5EA5">
            <w:pPr>
              <w:jc w:val="center"/>
              <w:rPr>
                <w:lang w:val="ru-RU"/>
              </w:rPr>
            </w:pPr>
            <w:r w:rsidRPr="00465176">
              <w:rPr>
                <w:lang w:val="ru-RU"/>
              </w:rPr>
              <w:t>5827,1</w:t>
            </w:r>
          </w:p>
        </w:tc>
        <w:tc>
          <w:tcPr>
            <w:tcW w:w="1533" w:type="dxa"/>
            <w:shd w:val="clear" w:color="auto" w:fill="auto"/>
          </w:tcPr>
          <w:p w:rsidR="007C3BC5" w:rsidRPr="00465176" w:rsidRDefault="007C3BC5" w:rsidP="000D5EA5">
            <w:pPr>
              <w:jc w:val="center"/>
            </w:pPr>
            <w:r w:rsidRPr="00465176">
              <w:t>2882,7</w:t>
            </w:r>
          </w:p>
        </w:tc>
      </w:tr>
      <w:tr w:rsidR="007C3BC5" w:rsidRPr="00465176" w:rsidTr="000D5EA5">
        <w:tc>
          <w:tcPr>
            <w:tcW w:w="6582" w:type="dxa"/>
            <w:shd w:val="clear" w:color="auto" w:fill="auto"/>
          </w:tcPr>
          <w:p w:rsidR="007C3BC5" w:rsidRPr="00465176" w:rsidRDefault="007C3BC5" w:rsidP="000D5EA5">
            <w:pPr>
              <w:tabs>
                <w:tab w:val="left" w:pos="284"/>
              </w:tabs>
              <w:jc w:val="both"/>
              <w:rPr>
                <w:iCs/>
              </w:rPr>
            </w:pPr>
            <w:r w:rsidRPr="00465176">
              <w:rPr>
                <w:iCs/>
              </w:rPr>
              <w:t>Запаси</w:t>
            </w:r>
            <w:r w:rsidRPr="00465176">
              <w:rPr>
                <w:iCs/>
              </w:rPr>
              <w:tab/>
            </w:r>
          </w:p>
        </w:tc>
        <w:tc>
          <w:tcPr>
            <w:tcW w:w="1688" w:type="dxa"/>
            <w:shd w:val="clear" w:color="auto" w:fill="auto"/>
          </w:tcPr>
          <w:p w:rsidR="007C3BC5" w:rsidRPr="00465176" w:rsidRDefault="007C3BC5" w:rsidP="000D5EA5">
            <w:pPr>
              <w:jc w:val="center"/>
              <w:rPr>
                <w:lang w:val="ru-RU"/>
              </w:rPr>
            </w:pPr>
            <w:r w:rsidRPr="00465176">
              <w:rPr>
                <w:lang w:val="ru-RU"/>
              </w:rPr>
              <w:t>16475,3</w:t>
            </w:r>
          </w:p>
        </w:tc>
        <w:tc>
          <w:tcPr>
            <w:tcW w:w="1533" w:type="dxa"/>
            <w:shd w:val="clear" w:color="auto" w:fill="auto"/>
          </w:tcPr>
          <w:p w:rsidR="007C3BC5" w:rsidRPr="00465176" w:rsidRDefault="007C3BC5" w:rsidP="000D5EA5">
            <w:pPr>
              <w:jc w:val="center"/>
            </w:pPr>
            <w:r w:rsidRPr="00465176">
              <w:t>16955,5</w:t>
            </w:r>
          </w:p>
        </w:tc>
      </w:tr>
      <w:tr w:rsidR="007C3BC5" w:rsidRPr="00465176" w:rsidTr="000D5EA5">
        <w:tc>
          <w:tcPr>
            <w:tcW w:w="6582" w:type="dxa"/>
            <w:shd w:val="clear" w:color="auto" w:fill="auto"/>
          </w:tcPr>
          <w:p w:rsidR="007C3BC5" w:rsidRPr="00465176" w:rsidRDefault="007C3BC5" w:rsidP="000D5EA5">
            <w:pPr>
              <w:tabs>
                <w:tab w:val="left" w:pos="284"/>
              </w:tabs>
              <w:jc w:val="both"/>
              <w:rPr>
                <w:iCs/>
              </w:rPr>
            </w:pPr>
            <w:r w:rsidRPr="00465176">
              <w:rPr>
                <w:iCs/>
              </w:rPr>
              <w:t>Сумарна дебіторська заборгованість</w:t>
            </w:r>
          </w:p>
        </w:tc>
        <w:tc>
          <w:tcPr>
            <w:tcW w:w="1688" w:type="dxa"/>
            <w:shd w:val="clear" w:color="auto" w:fill="auto"/>
          </w:tcPr>
          <w:p w:rsidR="007C3BC5" w:rsidRPr="00465176" w:rsidRDefault="007C3BC5" w:rsidP="000D5EA5">
            <w:pPr>
              <w:jc w:val="center"/>
              <w:rPr>
                <w:lang w:val="ru-RU"/>
              </w:rPr>
            </w:pPr>
            <w:r w:rsidRPr="00465176">
              <w:rPr>
                <w:lang w:val="ru-RU"/>
              </w:rPr>
              <w:t>3787,9</w:t>
            </w:r>
          </w:p>
        </w:tc>
        <w:tc>
          <w:tcPr>
            <w:tcW w:w="1533" w:type="dxa"/>
            <w:shd w:val="clear" w:color="auto" w:fill="auto"/>
          </w:tcPr>
          <w:p w:rsidR="007C3BC5" w:rsidRPr="00465176" w:rsidRDefault="007C3BC5" w:rsidP="000D5EA5">
            <w:pPr>
              <w:jc w:val="center"/>
            </w:pPr>
            <w:r w:rsidRPr="00465176">
              <w:t>1198,4</w:t>
            </w:r>
          </w:p>
        </w:tc>
      </w:tr>
      <w:tr w:rsidR="007C3BC5" w:rsidRPr="00465176" w:rsidTr="000D5EA5">
        <w:tc>
          <w:tcPr>
            <w:tcW w:w="6582" w:type="dxa"/>
            <w:shd w:val="clear" w:color="auto" w:fill="auto"/>
          </w:tcPr>
          <w:p w:rsidR="007C3BC5" w:rsidRPr="00465176" w:rsidRDefault="007C3BC5" w:rsidP="000D5EA5">
            <w:pPr>
              <w:tabs>
                <w:tab w:val="left" w:pos="284"/>
              </w:tabs>
              <w:jc w:val="both"/>
              <w:rPr>
                <w:iCs/>
              </w:rPr>
            </w:pPr>
            <w:r w:rsidRPr="00465176">
              <w:rPr>
                <w:iCs/>
              </w:rPr>
              <w:t>Гроші та їх еквіваленти</w:t>
            </w:r>
          </w:p>
        </w:tc>
        <w:tc>
          <w:tcPr>
            <w:tcW w:w="1688" w:type="dxa"/>
            <w:shd w:val="clear" w:color="auto" w:fill="auto"/>
          </w:tcPr>
          <w:p w:rsidR="007C3BC5" w:rsidRPr="00465176" w:rsidRDefault="007C3BC5" w:rsidP="000D5EA5">
            <w:pPr>
              <w:jc w:val="center"/>
              <w:rPr>
                <w:lang w:val="ru-RU"/>
              </w:rPr>
            </w:pPr>
            <w:r w:rsidRPr="00465176">
              <w:rPr>
                <w:lang w:val="ru-RU"/>
              </w:rPr>
              <w:t>32248,3</w:t>
            </w:r>
          </w:p>
        </w:tc>
        <w:tc>
          <w:tcPr>
            <w:tcW w:w="1533" w:type="dxa"/>
            <w:shd w:val="clear" w:color="auto" w:fill="auto"/>
          </w:tcPr>
          <w:p w:rsidR="007C3BC5" w:rsidRPr="00465176" w:rsidRDefault="007C3BC5" w:rsidP="000D5EA5">
            <w:pPr>
              <w:jc w:val="center"/>
            </w:pPr>
            <w:r w:rsidRPr="00465176">
              <w:t>35692,8</w:t>
            </w:r>
          </w:p>
        </w:tc>
      </w:tr>
      <w:tr w:rsidR="007C3BC5" w:rsidRPr="00465176" w:rsidTr="000D5EA5">
        <w:tc>
          <w:tcPr>
            <w:tcW w:w="6582" w:type="dxa"/>
            <w:shd w:val="clear" w:color="auto" w:fill="auto"/>
          </w:tcPr>
          <w:p w:rsidR="007C3BC5" w:rsidRPr="00465176" w:rsidRDefault="007C3BC5" w:rsidP="000D5EA5">
            <w:pPr>
              <w:tabs>
                <w:tab w:val="left" w:pos="284"/>
              </w:tabs>
              <w:jc w:val="both"/>
              <w:rPr>
                <w:iCs/>
              </w:rPr>
            </w:pPr>
            <w:r w:rsidRPr="00465176">
              <w:rPr>
                <w:iCs/>
              </w:rPr>
              <w:t>Нерозподілений прибуток (непокритий збиток)</w:t>
            </w:r>
            <w:r w:rsidRPr="00465176">
              <w:rPr>
                <w:iCs/>
              </w:rPr>
              <w:tab/>
            </w:r>
          </w:p>
        </w:tc>
        <w:tc>
          <w:tcPr>
            <w:tcW w:w="1688" w:type="dxa"/>
            <w:shd w:val="clear" w:color="auto" w:fill="auto"/>
          </w:tcPr>
          <w:p w:rsidR="007C3BC5" w:rsidRPr="00465176" w:rsidRDefault="007C3BC5" w:rsidP="000D5EA5">
            <w:pPr>
              <w:jc w:val="center"/>
              <w:rPr>
                <w:lang w:val="ru-RU"/>
              </w:rPr>
            </w:pPr>
            <w:r w:rsidRPr="00465176">
              <w:rPr>
                <w:lang w:val="ru-RU"/>
              </w:rPr>
              <w:t>55417,9</w:t>
            </w:r>
          </w:p>
        </w:tc>
        <w:tc>
          <w:tcPr>
            <w:tcW w:w="1533" w:type="dxa"/>
            <w:shd w:val="clear" w:color="auto" w:fill="auto"/>
          </w:tcPr>
          <w:p w:rsidR="007C3BC5" w:rsidRPr="00465176" w:rsidRDefault="007C3BC5" w:rsidP="000D5EA5">
            <w:pPr>
              <w:jc w:val="center"/>
            </w:pPr>
            <w:r w:rsidRPr="00465176">
              <w:t>55375,2</w:t>
            </w:r>
          </w:p>
        </w:tc>
      </w:tr>
      <w:tr w:rsidR="007C3BC5" w:rsidRPr="00465176" w:rsidTr="000D5EA5">
        <w:tc>
          <w:tcPr>
            <w:tcW w:w="6582" w:type="dxa"/>
            <w:shd w:val="clear" w:color="auto" w:fill="auto"/>
          </w:tcPr>
          <w:p w:rsidR="007C3BC5" w:rsidRPr="00465176" w:rsidRDefault="007C3BC5" w:rsidP="000D5EA5">
            <w:pPr>
              <w:tabs>
                <w:tab w:val="left" w:pos="284"/>
              </w:tabs>
              <w:jc w:val="both"/>
              <w:rPr>
                <w:iCs/>
              </w:rPr>
            </w:pPr>
            <w:r w:rsidRPr="00465176">
              <w:rPr>
                <w:iCs/>
              </w:rPr>
              <w:t>Власний капітал</w:t>
            </w:r>
          </w:p>
        </w:tc>
        <w:tc>
          <w:tcPr>
            <w:tcW w:w="1688" w:type="dxa"/>
            <w:shd w:val="clear" w:color="auto" w:fill="auto"/>
          </w:tcPr>
          <w:p w:rsidR="007C3BC5" w:rsidRPr="00465176" w:rsidRDefault="007C3BC5" w:rsidP="000D5EA5">
            <w:pPr>
              <w:jc w:val="center"/>
              <w:rPr>
                <w:lang w:val="ru-RU"/>
              </w:rPr>
            </w:pPr>
            <w:r w:rsidRPr="00465176">
              <w:rPr>
                <w:lang w:val="ru-RU"/>
              </w:rPr>
              <w:t>57780,5</w:t>
            </w:r>
          </w:p>
        </w:tc>
        <w:tc>
          <w:tcPr>
            <w:tcW w:w="1533" w:type="dxa"/>
            <w:shd w:val="clear" w:color="auto" w:fill="auto"/>
          </w:tcPr>
          <w:p w:rsidR="007C3BC5" w:rsidRPr="00465176" w:rsidRDefault="007C3BC5" w:rsidP="000D5EA5">
            <w:pPr>
              <w:jc w:val="center"/>
            </w:pPr>
            <w:r w:rsidRPr="00465176">
              <w:t>57737,8</w:t>
            </w:r>
          </w:p>
        </w:tc>
      </w:tr>
      <w:tr w:rsidR="007C3BC5" w:rsidRPr="00465176" w:rsidTr="000D5EA5">
        <w:tc>
          <w:tcPr>
            <w:tcW w:w="6582" w:type="dxa"/>
            <w:shd w:val="clear" w:color="auto" w:fill="auto"/>
          </w:tcPr>
          <w:p w:rsidR="007C3BC5" w:rsidRPr="00465176" w:rsidRDefault="007C3BC5" w:rsidP="000D5EA5">
            <w:pPr>
              <w:tabs>
                <w:tab w:val="left" w:pos="284"/>
              </w:tabs>
              <w:jc w:val="both"/>
              <w:rPr>
                <w:iCs/>
              </w:rPr>
            </w:pPr>
            <w:r w:rsidRPr="00465176">
              <w:rPr>
                <w:iCs/>
              </w:rPr>
              <w:t>Зареєстрований (пайовий/статутний) капітал</w:t>
            </w:r>
          </w:p>
        </w:tc>
        <w:tc>
          <w:tcPr>
            <w:tcW w:w="1688" w:type="dxa"/>
            <w:shd w:val="clear" w:color="auto" w:fill="auto"/>
          </w:tcPr>
          <w:p w:rsidR="007C3BC5" w:rsidRPr="00465176" w:rsidRDefault="007C3BC5" w:rsidP="000D5EA5">
            <w:pPr>
              <w:jc w:val="center"/>
              <w:rPr>
                <w:lang w:val="ru-RU"/>
              </w:rPr>
            </w:pPr>
            <w:r w:rsidRPr="00465176">
              <w:rPr>
                <w:lang w:val="ru-RU"/>
              </w:rPr>
              <w:t>418,6</w:t>
            </w:r>
          </w:p>
        </w:tc>
        <w:tc>
          <w:tcPr>
            <w:tcW w:w="1533" w:type="dxa"/>
            <w:shd w:val="clear" w:color="auto" w:fill="auto"/>
          </w:tcPr>
          <w:p w:rsidR="007C3BC5" w:rsidRPr="00465176" w:rsidRDefault="007C3BC5" w:rsidP="000D5EA5">
            <w:pPr>
              <w:jc w:val="center"/>
            </w:pPr>
            <w:r w:rsidRPr="00465176">
              <w:t>418,6</w:t>
            </w:r>
          </w:p>
        </w:tc>
      </w:tr>
      <w:tr w:rsidR="007C3BC5" w:rsidRPr="00465176" w:rsidTr="000D5EA5">
        <w:tc>
          <w:tcPr>
            <w:tcW w:w="6582" w:type="dxa"/>
            <w:shd w:val="clear" w:color="auto" w:fill="auto"/>
          </w:tcPr>
          <w:p w:rsidR="007C3BC5" w:rsidRPr="00465176" w:rsidRDefault="007C3BC5" w:rsidP="000D5EA5">
            <w:pPr>
              <w:tabs>
                <w:tab w:val="left" w:pos="284"/>
              </w:tabs>
              <w:jc w:val="both"/>
              <w:rPr>
                <w:iCs/>
              </w:rPr>
            </w:pPr>
            <w:r w:rsidRPr="00465176">
              <w:rPr>
                <w:iCs/>
              </w:rPr>
              <w:t>Довгострокові зобов'язання і забезпечення</w:t>
            </w:r>
          </w:p>
        </w:tc>
        <w:tc>
          <w:tcPr>
            <w:tcW w:w="1688" w:type="dxa"/>
            <w:shd w:val="clear" w:color="auto" w:fill="auto"/>
          </w:tcPr>
          <w:p w:rsidR="007C3BC5" w:rsidRPr="00465176" w:rsidRDefault="007C3BC5" w:rsidP="000D5EA5">
            <w:pPr>
              <w:jc w:val="center"/>
              <w:rPr>
                <w:lang w:val="ru-RU"/>
              </w:rPr>
            </w:pPr>
            <w:r w:rsidRPr="00465176">
              <w:rPr>
                <w:lang w:val="ru-RU"/>
              </w:rPr>
              <w:t>0</w:t>
            </w:r>
          </w:p>
        </w:tc>
        <w:tc>
          <w:tcPr>
            <w:tcW w:w="1533" w:type="dxa"/>
            <w:shd w:val="clear" w:color="auto" w:fill="auto"/>
          </w:tcPr>
          <w:p w:rsidR="007C3BC5" w:rsidRPr="00465176" w:rsidRDefault="007C3BC5" w:rsidP="000D5EA5">
            <w:pPr>
              <w:jc w:val="center"/>
            </w:pPr>
            <w:r w:rsidRPr="00465176">
              <w:t>0</w:t>
            </w:r>
          </w:p>
        </w:tc>
      </w:tr>
      <w:tr w:rsidR="007C3BC5" w:rsidRPr="00465176" w:rsidTr="000D5EA5">
        <w:tc>
          <w:tcPr>
            <w:tcW w:w="6582" w:type="dxa"/>
            <w:shd w:val="clear" w:color="auto" w:fill="auto"/>
          </w:tcPr>
          <w:p w:rsidR="007C3BC5" w:rsidRPr="00465176" w:rsidRDefault="007C3BC5" w:rsidP="000D5EA5">
            <w:pPr>
              <w:tabs>
                <w:tab w:val="left" w:pos="284"/>
              </w:tabs>
              <w:jc w:val="both"/>
              <w:rPr>
                <w:iCs/>
              </w:rPr>
            </w:pPr>
            <w:r w:rsidRPr="00465176">
              <w:rPr>
                <w:iCs/>
              </w:rPr>
              <w:t>Поточні зобов'язання і забезпечення</w:t>
            </w:r>
          </w:p>
        </w:tc>
        <w:tc>
          <w:tcPr>
            <w:tcW w:w="1688" w:type="dxa"/>
            <w:shd w:val="clear" w:color="auto" w:fill="auto"/>
          </w:tcPr>
          <w:p w:rsidR="007C3BC5" w:rsidRPr="00465176" w:rsidRDefault="007C3BC5" w:rsidP="000D5EA5">
            <w:pPr>
              <w:jc w:val="center"/>
              <w:rPr>
                <w:lang w:val="ru-RU"/>
              </w:rPr>
            </w:pPr>
            <w:r w:rsidRPr="00465176">
              <w:rPr>
                <w:lang w:val="ru-RU"/>
              </w:rPr>
              <w:t>2428,0</w:t>
            </w:r>
          </w:p>
        </w:tc>
        <w:tc>
          <w:tcPr>
            <w:tcW w:w="1533" w:type="dxa"/>
            <w:shd w:val="clear" w:color="auto" w:fill="auto"/>
          </w:tcPr>
          <w:p w:rsidR="007C3BC5" w:rsidRPr="00465176" w:rsidRDefault="007C3BC5" w:rsidP="000D5EA5">
            <w:pPr>
              <w:jc w:val="center"/>
            </w:pPr>
            <w:r w:rsidRPr="00465176">
              <w:t>1355,3</w:t>
            </w:r>
          </w:p>
        </w:tc>
      </w:tr>
      <w:tr w:rsidR="007C3BC5" w:rsidRPr="00465176" w:rsidTr="000D5EA5">
        <w:tc>
          <w:tcPr>
            <w:tcW w:w="6582" w:type="dxa"/>
            <w:shd w:val="clear" w:color="auto" w:fill="auto"/>
          </w:tcPr>
          <w:p w:rsidR="007C3BC5" w:rsidRPr="00465176" w:rsidRDefault="007C3BC5" w:rsidP="000D5EA5">
            <w:pPr>
              <w:tabs>
                <w:tab w:val="left" w:pos="284"/>
              </w:tabs>
              <w:jc w:val="both"/>
              <w:rPr>
                <w:iCs/>
              </w:rPr>
            </w:pPr>
            <w:r w:rsidRPr="00465176">
              <w:rPr>
                <w:iCs/>
              </w:rPr>
              <w:t>Чистий фінансовий результат: прибуток (збиток)</w:t>
            </w:r>
          </w:p>
        </w:tc>
        <w:tc>
          <w:tcPr>
            <w:tcW w:w="1688" w:type="dxa"/>
            <w:shd w:val="clear" w:color="auto" w:fill="auto"/>
          </w:tcPr>
          <w:p w:rsidR="007C3BC5" w:rsidRPr="00465176" w:rsidRDefault="007C3BC5" w:rsidP="000D5EA5">
            <w:pPr>
              <w:jc w:val="center"/>
              <w:rPr>
                <w:lang w:val="ru-RU"/>
              </w:rPr>
            </w:pPr>
            <w:r w:rsidRPr="00465176">
              <w:rPr>
                <w:lang w:val="ru-RU"/>
              </w:rPr>
              <w:t>5065,0</w:t>
            </w:r>
          </w:p>
        </w:tc>
        <w:tc>
          <w:tcPr>
            <w:tcW w:w="1533" w:type="dxa"/>
            <w:shd w:val="clear" w:color="auto" w:fill="auto"/>
          </w:tcPr>
          <w:p w:rsidR="007C3BC5" w:rsidRPr="00465176" w:rsidRDefault="007C3BC5" w:rsidP="000D5EA5">
            <w:pPr>
              <w:jc w:val="center"/>
            </w:pPr>
            <w:r w:rsidRPr="00465176">
              <w:t>4967,7</w:t>
            </w:r>
          </w:p>
        </w:tc>
      </w:tr>
      <w:tr w:rsidR="007C3BC5" w:rsidRPr="00465176" w:rsidTr="000D5EA5">
        <w:tc>
          <w:tcPr>
            <w:tcW w:w="6582" w:type="dxa"/>
            <w:shd w:val="clear" w:color="auto" w:fill="auto"/>
          </w:tcPr>
          <w:p w:rsidR="007C3BC5" w:rsidRPr="00465176" w:rsidRDefault="007C3BC5" w:rsidP="000D5EA5">
            <w:pPr>
              <w:tabs>
                <w:tab w:val="left" w:pos="284"/>
              </w:tabs>
              <w:jc w:val="both"/>
              <w:rPr>
                <w:iCs/>
              </w:rPr>
            </w:pPr>
            <w:r w:rsidRPr="00465176">
              <w:rPr>
                <w:iCs/>
              </w:rPr>
              <w:t>Середньорічна кількість акцій (шт.)</w:t>
            </w:r>
          </w:p>
        </w:tc>
        <w:tc>
          <w:tcPr>
            <w:tcW w:w="1688" w:type="dxa"/>
            <w:shd w:val="clear" w:color="auto" w:fill="auto"/>
          </w:tcPr>
          <w:p w:rsidR="007C3BC5" w:rsidRPr="00465176" w:rsidRDefault="007C3BC5" w:rsidP="000D5EA5">
            <w:pPr>
              <w:jc w:val="center"/>
            </w:pPr>
            <w:r w:rsidRPr="00465176">
              <w:t>1674188</w:t>
            </w:r>
          </w:p>
        </w:tc>
        <w:tc>
          <w:tcPr>
            <w:tcW w:w="1533" w:type="dxa"/>
            <w:shd w:val="clear" w:color="auto" w:fill="auto"/>
          </w:tcPr>
          <w:p w:rsidR="007C3BC5" w:rsidRPr="00465176" w:rsidRDefault="007C3BC5" w:rsidP="000D5EA5">
            <w:pPr>
              <w:jc w:val="center"/>
            </w:pPr>
            <w:r w:rsidRPr="00465176">
              <w:t>1674188</w:t>
            </w:r>
          </w:p>
        </w:tc>
      </w:tr>
      <w:tr w:rsidR="007C3BC5" w:rsidRPr="00465176" w:rsidTr="000D5EA5">
        <w:tc>
          <w:tcPr>
            <w:tcW w:w="6582" w:type="dxa"/>
            <w:shd w:val="clear" w:color="auto" w:fill="auto"/>
          </w:tcPr>
          <w:p w:rsidR="007C3BC5" w:rsidRPr="00465176" w:rsidRDefault="007C3BC5" w:rsidP="000D5EA5">
            <w:pPr>
              <w:tabs>
                <w:tab w:val="left" w:pos="284"/>
              </w:tabs>
              <w:jc w:val="both"/>
              <w:rPr>
                <w:iCs/>
              </w:rPr>
            </w:pPr>
            <w:r w:rsidRPr="00465176">
              <w:rPr>
                <w:iCs/>
              </w:rPr>
              <w:t>Чистий прибуток (збиток) на одну просту акцію (грн)</w:t>
            </w:r>
          </w:p>
        </w:tc>
        <w:tc>
          <w:tcPr>
            <w:tcW w:w="1688" w:type="dxa"/>
            <w:shd w:val="clear" w:color="auto" w:fill="auto"/>
          </w:tcPr>
          <w:p w:rsidR="007C3BC5" w:rsidRPr="00465176" w:rsidRDefault="007C3BC5" w:rsidP="000D5EA5">
            <w:pPr>
              <w:jc w:val="center"/>
              <w:rPr>
                <w:lang w:val="ru-RU"/>
              </w:rPr>
            </w:pPr>
            <w:r w:rsidRPr="00465176">
              <w:rPr>
                <w:lang w:val="ru-RU"/>
              </w:rPr>
              <w:t>3,02535</w:t>
            </w:r>
          </w:p>
        </w:tc>
        <w:tc>
          <w:tcPr>
            <w:tcW w:w="1533" w:type="dxa"/>
            <w:shd w:val="clear" w:color="auto" w:fill="auto"/>
          </w:tcPr>
          <w:p w:rsidR="007C3BC5" w:rsidRPr="00465176" w:rsidRDefault="007C3BC5" w:rsidP="000D5EA5">
            <w:pPr>
              <w:jc w:val="center"/>
            </w:pPr>
            <w:r w:rsidRPr="00465176">
              <w:t>2,96723</w:t>
            </w:r>
          </w:p>
        </w:tc>
      </w:tr>
    </w:tbl>
    <w:p w:rsidR="007C3BC5" w:rsidRPr="00465176" w:rsidRDefault="007C3BC5" w:rsidP="007C3BC5">
      <w:pPr>
        <w:tabs>
          <w:tab w:val="left" w:pos="284"/>
        </w:tabs>
        <w:ind w:firstLine="480"/>
        <w:jc w:val="both"/>
        <w:rPr>
          <w:iCs/>
        </w:rPr>
      </w:pPr>
    </w:p>
    <w:p w:rsidR="007C3BC5" w:rsidRPr="00465176" w:rsidRDefault="007C3BC5" w:rsidP="007C3BC5">
      <w:pPr>
        <w:ind w:firstLine="480"/>
        <w:jc w:val="both"/>
      </w:pPr>
      <w:r w:rsidRPr="00465176">
        <w:t>Акціонери до дати проведення загальних зборів мають право ознайомитись з матеріалами до загальних зборів та документами, необхідними для прийняття рішень з питань, включених до проекту порядку денного. Запит на ознайомлення з документами, необхідними акціонерам для прийняття рішень з питань, включених до проекту порядку денного, має бути підписаний кваліфікованим електронним підписом такого акціонера (іншим засобом, що забезпечує ідентифікацію та підтвердження направлення документу особою) та направлений на адресу електронної пошти, зазначену в цьому повідомленні нижче. У разі отримання належним чином оформленого запиту від акціонера, особа, відповідальна за ознайомлення акціонерів з відповідними документами, направляє такі документи на адресу електронної пошти акціонера, з якої направлено запит, із засвідченням документів кваліфікованим електронним підписом.</w:t>
      </w:r>
    </w:p>
    <w:p w:rsidR="007C3BC5" w:rsidRPr="00465176" w:rsidRDefault="007C3BC5" w:rsidP="007C3BC5">
      <w:pPr>
        <w:ind w:firstLine="480"/>
        <w:jc w:val="both"/>
      </w:pPr>
      <w:r w:rsidRPr="00465176">
        <w:lastRenderedPageBreak/>
        <w:t xml:space="preserve">Особою, відповідальною за ознайомлення акціонерів з документами, є </w:t>
      </w:r>
      <w:r w:rsidRPr="00465176">
        <w:rPr>
          <w:iCs/>
          <w:shd w:val="clear" w:color="auto" w:fill="FFFFFF"/>
        </w:rPr>
        <w:t>Директор Товариства</w:t>
      </w:r>
      <w:r w:rsidRPr="00465176">
        <w:t xml:space="preserve"> Рябко Віктор Іванович, телефон (044) </w:t>
      </w:r>
      <w:r w:rsidRPr="00465176">
        <w:rPr>
          <w:noProof/>
          <w:snapToGrid w:val="0"/>
          <w:color w:val="000000"/>
        </w:rPr>
        <w:t>596-52-52</w:t>
      </w:r>
      <w:r w:rsidRPr="00465176">
        <w:t xml:space="preserve">. Адреса електронної пошти, на яку акціонер може направити запит щодо ознайомлення з матеріалами під час підготовки до загальних зборів та/або запитання щодо порядку денного загальних зборів та/або направити пропозиції до проекту порядку денного загальних зборів та проектів рішень – info@rodos.com.ua. Адреса вебсайту, на якому розміщена інформація з проектами рішень до кожного з питань, включеного до проекту порядку денного та інша інформація, передбачена чинним законодавством України: </w:t>
      </w:r>
      <w:r w:rsidRPr="00465176">
        <w:rPr>
          <w:rStyle w:val="a4"/>
        </w:rPr>
        <w:t>http://rodos.com.ua</w:t>
      </w:r>
      <w:r w:rsidRPr="00465176">
        <w:t>.</w:t>
      </w:r>
    </w:p>
    <w:p w:rsidR="007C3BC5" w:rsidRPr="00465176" w:rsidRDefault="007C3BC5" w:rsidP="007C3BC5">
      <w:pPr>
        <w:ind w:firstLine="480"/>
        <w:jc w:val="both"/>
      </w:pPr>
      <w:r w:rsidRPr="00465176">
        <w:t xml:space="preserve">Акціонери мають право надсилати свої пропозиції до проекту порядку денного за адресою: </w:t>
      </w:r>
      <w:r w:rsidRPr="00465176">
        <w:rPr>
          <w:spacing w:val="-2"/>
        </w:rPr>
        <w:t xml:space="preserve">03191, </w:t>
      </w:r>
      <w:r w:rsidRPr="00465176">
        <w:t xml:space="preserve">м. Київ, вул. Ломоносова, буд. 58 не пізніше ніж за 20 днів до дня проведення загальних зборів, зборів. Пропозиції подаються в письмовій формі та мають містити прізвище, ім’я, по батькові або найменування акціонера(ів), який її вносить, кількість та тип належних йому акцій Товариства, запропоноване питання для включення до порядку денного з проектом рішення та/або проект рішення до питання, включеного до порядку денного. Пропозиції акціонерів (акціонера), які сукупно є власниками 5 або більше відсотків голосуючих акцій, підлягають обов’язковому включенню до проекту порядку денного загальних зборів. Мотивоване рішення про відмову у включенні пропозиції до проекту порядку денного загальних зборів надсилається Наглядовою радою акціонеру протягом 3 днів з моменту його прийняття. Пропозиція до проекту порядку денного загальних зборів може бути направлена акціонером у вигляді електронного документу із засвідченням його кваліфікованим електронним підписом акціонера (іншим засобом, що забезпечує ідентифікацію та підтвердження направлення документу особою) на адресу електронної пошти, зазначену в цьому повідомленні вище. Акціонери мають право у встановлений чинним законодавством України строк оскаржувати до суду рішення про відмову у включенні їх пропозицій до порядку денного загальних зборів. </w:t>
      </w:r>
    </w:p>
    <w:p w:rsidR="007C3BC5" w:rsidRPr="00465176" w:rsidRDefault="007C3BC5" w:rsidP="007C3BC5">
      <w:pPr>
        <w:ind w:firstLine="480"/>
        <w:jc w:val="both"/>
      </w:pPr>
      <w:r w:rsidRPr="00465176">
        <w:t xml:space="preserve">Голосування на загальних зборах розпочинається 08 липня 2022р. з моменту розміщення єдиного бюлетеня для голосування на власному вебсайті Товариства </w:t>
      </w:r>
      <w:r w:rsidRPr="00465176">
        <w:rPr>
          <w:rStyle w:val="a4"/>
        </w:rPr>
        <w:t>http://rodos.com.ua</w:t>
      </w:r>
      <w:r w:rsidRPr="00465176">
        <w:t xml:space="preserve"> та завершується о 18 годині 18 липня 2022р. Голосування на загальних зборах з питань порядку денного проводиться виключно з використанням єдиного бюлетеня для голосування. Голосування проводиться шляхом подання заповнених бюлетенів для голосування депозитарній установі, яка обслуговує рахунок акціонера в цінних паперах, на якому обліковуються належні акціонеру акції Товариства на дату складення переліку акціонерів, які мають право на участь у загальних зборах Товариства. Кількість голосів акціонера в бюлетені зазначається акціонером на підставі даних отриманих акціонером від депозитарної установи, яка обслуговує рахунок в цінних паперах такого акціонера, на якому обліковуються належні акціонеру акції Товариства. Акціонер в період проведення голосування може надати депозитарній установі, яка обслуговує рахунок в цінних паперах такого акціонера, на якому обліковуються належні акціонеру акції Товариства, лише один бюлетень для голосування з одних і тих самих питань порядку денного. У разі, якщо акціонер має рахунки в цінних паперах в декількох депозитарних установах, на яких обліковуються акції Товариства, кожна із депозитарних установ приймає бюлетені для голосування на загальних зборах лише щодо тієї кількості акцій, права на які обліковуються на рахунку в цінних паперах, що обслуговується такою депозитарною установою. Бюлетень, що був отриманий депозитарною установою після завершення часу, відведеного на голосування, вважається таким, що не поданий. Бюлетені для голосування на загальних зборах засвідчується одним з наступних способів за вибором акціонера: 1) за допомогою кваліфікованого електронного підпису акціонера (його представника); 2) нотаріально, за умови підписання бюлетеня в присутності нотаріуса або посадової особи, яка вчиняє нотаріальні дії; 3) депозитарною установою, яка обслуговує рахунок в цінних паперах такого акціонера, на якому обліковуються належні акціонеру акції Товариства, за умови підписання бюлетеня в присутності уповноваженої особи депозитарної установи. Кожен аркуш бюлетеня підписується акціонером (представником акціонера), окрім випадків засвідчення бюлетеня кваліфікованим електронним підписом акціонера (його представника). У випадку подання бюлетеня для голосування, підписаного представником акціонера, до бюлетеня для голосування додаються документи, що підтверджують повноваження такого представника акціонера або їх належним чином засвідчені копії. Представником акціонера на загальних зборах Товариства може бути фізична особа або уповноважена особа юридичної особи, а також уповноважена особа держави чи територіальної громади. Посадові особи органів Товариства та їх афілійовані особи не можуть бути </w:t>
      </w:r>
      <w:r w:rsidRPr="00465176">
        <w:lastRenderedPageBreak/>
        <w:t>представниками інших акціонерів Товариства на загальних зборах Товариства. Акціонер має право призначити свого представника постійно або на певний строк. Довіреність на право участі та голосування на загальних зборах Товариства, видана фізичною особою, посвідчується нотаріусом або іншими посадовими особами, які вчиняють нотаріальні дії, а також може посвідчуватися депозитарною установою у порядку, встановленому чинним законодавством України. Довіреність на право участі та голосування на загальних зборах Товариства від імені юридичної особи видається її органом або іншою особою, уповноваженою на це її установчими документами. Довіреність на право участі та голосування на загальних зборах Товариства може містити завдання щодо голосування, тобто перелік питань, порядку денного загальних зборів із зазначенням того, як і за яке (проти якого) рішення потрібно проголосувати. Якщо довіреність не містить завдання щодо голосування, представник вирішує всі питання щодо голосування на загальних зборах на свій розсуд. Акціонер має право видати довіреність на право участі та голосування на загальних зборах Товариства декільком своїм представникам. Якщо направлення бюлетенів для голосування здійснили декілька представників акціонера, яким довіреність видана одночасно, для участі в зазначених зборах допускається той представник, який надав бюлетень першим. Надання довіреності на право участі та голосування на загальних зборах не виключає право участі на цих зборах акціонера, який видав довіреність, замість свого представника. Акціонер має право у будь-який час до закінчення строку, відведеного для голосування на загальних зборах відкликати чи замінити свого представника на загальних зборах, повідомивши про це Товариство та депозитарну установу, яка обслуговує рахунок в цінних паперах такого акціонера, на якому обліковуються належні акціонеру акції Товариства, або взяти участь у загальних зборах особисто. Повідомлення акціонером про заміну або відкликання свого представника може здійснюватися за допомогою засобів електронного зв'язку відповідно до законодавства про електронний документообіг.</w:t>
      </w:r>
    </w:p>
    <w:p w:rsidR="001429DA" w:rsidRDefault="007C3BC5" w:rsidP="007C3BC5">
      <w:pPr>
        <w:ind w:firstLine="480"/>
        <w:jc w:val="both"/>
      </w:pPr>
      <w:r w:rsidRPr="00465176">
        <w:t>Особам, яким депозитарною установою відкрито рахунок в цінних паперах на підставі договору з Товариством, необхідно укласти договір з депозитарною установою для забезпечення реалізації права на участь у дистанційних загальних зборах акціонерів Товариства.</w:t>
      </w:r>
    </w:p>
    <w:sectPr w:rsidR="001429DA" w:rsidSect="00E53F0F">
      <w:pgSz w:w="11906" w:h="16838"/>
      <w:pgMar w:top="567" w:right="850"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BC5"/>
    <w:rsid w:val="001429DA"/>
    <w:rsid w:val="00465176"/>
    <w:rsid w:val="007C3BC5"/>
    <w:rsid w:val="00E53F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070883-E22D-4341-B185-9B646B845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3BC5"/>
    <w:rPr>
      <w:rFonts w:eastAsia="Times New Roman" w:cs="Times New Roman"/>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7C3BC5"/>
    <w:rPr>
      <w:b/>
      <w:bCs/>
    </w:rPr>
  </w:style>
  <w:style w:type="character" w:styleId="a4">
    <w:name w:val="Hyperlink"/>
    <w:basedOn w:val="a0"/>
    <w:uiPriority w:val="99"/>
    <w:unhideWhenUsed/>
    <w:rsid w:val="007C3BC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1603</Words>
  <Characters>9139</Characters>
  <Application>Microsoft Office Word</Application>
  <DocSecurity>0</DocSecurity>
  <Lines>76</Lines>
  <Paragraphs>21</Paragraphs>
  <ScaleCrop>false</ScaleCrop>
  <Company/>
  <LinksUpToDate>false</LinksUpToDate>
  <CharactersWithSpaces>10721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Валерій</dc:creator>
  <cp:keywords/>
  <dc:description/>
  <cp:lastModifiedBy>Валерій</cp:lastModifiedBy>
  <cp:revision>3</cp:revision>
  <dcterms:created xsi:type="dcterms:W3CDTF">2022-06-10T06:31:00Z</dcterms:created>
  <dcterms:modified xsi:type="dcterms:W3CDTF">2022-06-10T09:18:00Z</dcterms:modified>
</cp:coreProperties>
</file>