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7ED" w:rsidRPr="00243AB3" w:rsidRDefault="00FD67ED" w:rsidP="00FD67ED">
      <w:pPr>
        <w:pStyle w:val="a5"/>
        <w:rPr>
          <w:rFonts w:cs="Arial"/>
          <w:sz w:val="22"/>
          <w:szCs w:val="22"/>
          <w:lang w:val="uk-UA"/>
        </w:rPr>
      </w:pPr>
      <w:r w:rsidRPr="00243AB3">
        <w:rPr>
          <w:rFonts w:cs="Arial"/>
          <w:sz w:val="22"/>
          <w:szCs w:val="22"/>
          <w:lang w:val="uk-UA"/>
        </w:rPr>
        <w:t>Приватне акціонерне товариство "РОДОС"</w:t>
      </w:r>
    </w:p>
    <w:p w:rsidR="00FD67ED" w:rsidRPr="00243AB3" w:rsidRDefault="00FD67ED" w:rsidP="00FD67ED">
      <w:pPr>
        <w:pStyle w:val="a5"/>
        <w:rPr>
          <w:rFonts w:cs="Arial"/>
          <w:b w:val="0"/>
          <w:sz w:val="22"/>
          <w:szCs w:val="22"/>
          <w:lang w:val="uk-UA"/>
        </w:rPr>
      </w:pPr>
      <w:r w:rsidRPr="00243AB3">
        <w:rPr>
          <w:rFonts w:cs="Arial"/>
          <w:b w:val="0"/>
          <w:sz w:val="22"/>
          <w:szCs w:val="22"/>
          <w:lang w:val="uk-UA"/>
        </w:rPr>
        <w:t>(місцезнаходження: м. Київ, вул. Ломоносова, буд. 58) повідомляє, що річні загальні збори акціонерів відбудуться 08 квітня</w:t>
      </w:r>
      <w:r w:rsidRPr="00243AB3">
        <w:rPr>
          <w:rFonts w:cs="Arial"/>
          <w:sz w:val="22"/>
          <w:szCs w:val="22"/>
          <w:lang w:val="uk-UA"/>
        </w:rPr>
        <w:t xml:space="preserve"> </w:t>
      </w:r>
      <w:r w:rsidRPr="00243AB3">
        <w:rPr>
          <w:rFonts w:cs="Arial"/>
          <w:b w:val="0"/>
          <w:sz w:val="22"/>
          <w:szCs w:val="22"/>
          <w:lang w:val="uk-UA"/>
        </w:rPr>
        <w:t>2020р. о 10-00 за адресою:</w:t>
      </w:r>
    </w:p>
    <w:p w:rsidR="00FD67ED" w:rsidRPr="00243AB3" w:rsidRDefault="00FD67ED" w:rsidP="00FD67ED">
      <w:pPr>
        <w:widowControl w:val="0"/>
        <w:jc w:val="center"/>
        <w:rPr>
          <w:rFonts w:ascii="Arial" w:hAnsi="Arial" w:cs="Arial"/>
          <w:sz w:val="22"/>
          <w:szCs w:val="22"/>
          <w:lang w:val="uk-UA"/>
        </w:rPr>
      </w:pPr>
      <w:r w:rsidRPr="00243AB3">
        <w:rPr>
          <w:rFonts w:ascii="Arial" w:hAnsi="Arial" w:cs="Arial"/>
          <w:sz w:val="22"/>
          <w:szCs w:val="22"/>
          <w:lang w:val="uk-UA"/>
        </w:rPr>
        <w:t xml:space="preserve">м. Київ, вул. Ломоносова, буд. 58, </w:t>
      </w:r>
      <w:proofErr w:type="spellStart"/>
      <w:r w:rsidRPr="00243AB3">
        <w:rPr>
          <w:rFonts w:ascii="Arial" w:hAnsi="Arial" w:cs="Arial"/>
          <w:sz w:val="22"/>
          <w:szCs w:val="22"/>
          <w:lang w:val="uk-UA"/>
        </w:rPr>
        <w:t>кімн</w:t>
      </w:r>
      <w:proofErr w:type="spellEnd"/>
      <w:r w:rsidRPr="00243AB3">
        <w:rPr>
          <w:rFonts w:ascii="Arial" w:hAnsi="Arial" w:cs="Arial"/>
          <w:sz w:val="22"/>
          <w:szCs w:val="22"/>
          <w:lang w:val="uk-UA"/>
        </w:rPr>
        <w:t>. 2</w:t>
      </w:r>
    </w:p>
    <w:p w:rsidR="00FD67ED" w:rsidRPr="00243AB3" w:rsidRDefault="00FD67ED" w:rsidP="00FD67ED">
      <w:pPr>
        <w:rPr>
          <w:rFonts w:ascii="Arial" w:hAnsi="Arial" w:cs="Arial"/>
          <w:b/>
          <w:bCs/>
          <w:sz w:val="22"/>
          <w:szCs w:val="22"/>
          <w:lang w:val="uk-UA"/>
        </w:rPr>
      </w:pPr>
      <w:r w:rsidRPr="00243AB3">
        <w:rPr>
          <w:rFonts w:ascii="Arial" w:hAnsi="Arial" w:cs="Arial"/>
          <w:b/>
          <w:bCs/>
          <w:sz w:val="22"/>
          <w:szCs w:val="22"/>
          <w:lang w:val="uk-UA"/>
        </w:rPr>
        <w:t>1. Обрання лічильної комісії.</w:t>
      </w:r>
    </w:p>
    <w:p w:rsidR="00FD67ED" w:rsidRPr="00243AB3" w:rsidRDefault="00FD67ED" w:rsidP="00FD67ED">
      <w:pPr>
        <w:pStyle w:val="a3"/>
        <w:jc w:val="both"/>
        <w:rPr>
          <w:rFonts w:cs="Arial"/>
          <w:b w:val="0"/>
          <w:bCs/>
          <w:noProof w:val="0"/>
          <w:sz w:val="22"/>
          <w:szCs w:val="22"/>
        </w:rPr>
      </w:pPr>
      <w:r w:rsidRPr="00243AB3">
        <w:rPr>
          <w:rFonts w:cs="Arial"/>
          <w:b w:val="0"/>
          <w:bCs/>
          <w:sz w:val="22"/>
          <w:szCs w:val="22"/>
          <w:u w:val="single"/>
        </w:rPr>
        <w:t>Проект рішення</w:t>
      </w:r>
      <w:r w:rsidRPr="00243AB3">
        <w:rPr>
          <w:rFonts w:cs="Arial"/>
          <w:bCs/>
          <w:sz w:val="22"/>
          <w:szCs w:val="22"/>
        </w:rPr>
        <w:t xml:space="preserve">: </w:t>
      </w:r>
      <w:r w:rsidRPr="00243AB3">
        <w:rPr>
          <w:rFonts w:cs="Arial"/>
          <w:b w:val="0"/>
          <w:sz w:val="22"/>
          <w:szCs w:val="22"/>
        </w:rPr>
        <w:t>Обрати лічильну комісію у складі: голова комісії – Трояновський В.Л., член комісії – Чечко Т.М.</w:t>
      </w:r>
    </w:p>
    <w:p w:rsidR="00FD67ED" w:rsidRPr="00243AB3" w:rsidRDefault="00FD67ED" w:rsidP="00FD67ED">
      <w:pPr>
        <w:jc w:val="both"/>
        <w:rPr>
          <w:rFonts w:ascii="Arial" w:hAnsi="Arial" w:cs="Arial"/>
          <w:b/>
          <w:sz w:val="22"/>
          <w:szCs w:val="22"/>
          <w:lang w:val="uk-UA"/>
        </w:rPr>
      </w:pPr>
      <w:r w:rsidRPr="00243AB3">
        <w:rPr>
          <w:rFonts w:ascii="Arial" w:hAnsi="Arial" w:cs="Arial"/>
          <w:b/>
          <w:sz w:val="22"/>
          <w:szCs w:val="22"/>
          <w:lang w:val="uk-UA"/>
        </w:rPr>
        <w:t>2. Звіт директора та прийняття рішення за наслідками розгляду звіту директора.</w:t>
      </w:r>
    </w:p>
    <w:p w:rsidR="00FD67ED" w:rsidRPr="00243AB3" w:rsidRDefault="00FD67ED" w:rsidP="00FD67ED">
      <w:pPr>
        <w:jc w:val="both"/>
        <w:rPr>
          <w:rFonts w:ascii="Arial" w:hAnsi="Arial" w:cs="Arial"/>
          <w:bCs/>
          <w:sz w:val="22"/>
          <w:szCs w:val="22"/>
          <w:lang w:val="uk-UA"/>
        </w:rPr>
      </w:pPr>
      <w:r w:rsidRPr="00243AB3">
        <w:rPr>
          <w:rStyle w:val="a7"/>
          <w:rFonts w:ascii="Arial" w:hAnsi="Arial" w:cs="Arial"/>
          <w:b w:val="0"/>
          <w:sz w:val="22"/>
          <w:szCs w:val="22"/>
          <w:u w:val="single"/>
          <w:lang w:val="uk-UA"/>
        </w:rPr>
        <w:t>Проект рішення</w:t>
      </w:r>
      <w:r w:rsidRPr="00243AB3">
        <w:rPr>
          <w:rFonts w:ascii="Arial" w:hAnsi="Arial" w:cs="Arial"/>
          <w:sz w:val="22"/>
          <w:szCs w:val="22"/>
          <w:lang w:val="uk-UA"/>
        </w:rPr>
        <w:t>:</w:t>
      </w:r>
      <w:r w:rsidRPr="00243AB3">
        <w:rPr>
          <w:rFonts w:ascii="Arial" w:hAnsi="Arial" w:cs="Arial"/>
          <w:bCs/>
          <w:sz w:val="22"/>
          <w:szCs w:val="22"/>
          <w:lang w:val="uk-UA"/>
        </w:rPr>
        <w:t xml:space="preserve"> Затвердити звіт директора </w:t>
      </w:r>
      <w:r w:rsidRPr="00243AB3">
        <w:rPr>
          <w:rFonts w:ascii="Arial" w:hAnsi="Arial" w:cs="Arial"/>
          <w:sz w:val="22"/>
          <w:szCs w:val="22"/>
          <w:lang w:val="uk-UA"/>
        </w:rPr>
        <w:t>про результати фінансово-господарської діяльності</w:t>
      </w:r>
      <w:r w:rsidRPr="00243AB3">
        <w:rPr>
          <w:rFonts w:ascii="Arial" w:hAnsi="Arial" w:cs="Arial"/>
          <w:sz w:val="22"/>
          <w:szCs w:val="22"/>
          <w:lang w:val="uk-UA"/>
        </w:rPr>
        <w:br/>
      </w:r>
      <w:r w:rsidRPr="00243AB3">
        <w:rPr>
          <w:rFonts w:ascii="Arial" w:hAnsi="Arial" w:cs="Arial"/>
          <w:bCs/>
          <w:sz w:val="22"/>
          <w:szCs w:val="22"/>
          <w:lang w:val="uk-UA"/>
        </w:rPr>
        <w:t>за 2019 рік.</w:t>
      </w:r>
    </w:p>
    <w:p w:rsidR="00FD67ED" w:rsidRPr="00243AB3" w:rsidRDefault="00FD67ED" w:rsidP="00FD67ED">
      <w:pPr>
        <w:jc w:val="both"/>
        <w:rPr>
          <w:rFonts w:ascii="Arial" w:hAnsi="Arial" w:cs="Arial"/>
          <w:b/>
          <w:sz w:val="22"/>
          <w:szCs w:val="22"/>
          <w:lang w:val="uk-UA"/>
        </w:rPr>
      </w:pPr>
      <w:r w:rsidRPr="00243AB3">
        <w:rPr>
          <w:rFonts w:ascii="Arial" w:hAnsi="Arial" w:cs="Arial"/>
          <w:b/>
          <w:sz w:val="22"/>
          <w:szCs w:val="22"/>
          <w:lang w:val="uk-UA"/>
        </w:rPr>
        <w:t>3. Звіт наглядової ради та прийняття рішення за наслідками розгляду звіту наглядової ради.</w:t>
      </w:r>
    </w:p>
    <w:p w:rsidR="00FD67ED" w:rsidRPr="00243AB3" w:rsidRDefault="00FD67ED" w:rsidP="00FD67ED">
      <w:pPr>
        <w:rPr>
          <w:rFonts w:ascii="Arial" w:hAnsi="Arial" w:cs="Arial"/>
          <w:sz w:val="22"/>
          <w:szCs w:val="22"/>
          <w:lang w:val="uk-UA"/>
        </w:rPr>
      </w:pPr>
      <w:r w:rsidRPr="00243AB3">
        <w:rPr>
          <w:rStyle w:val="a7"/>
          <w:rFonts w:ascii="Arial" w:hAnsi="Arial" w:cs="Arial"/>
          <w:b w:val="0"/>
          <w:sz w:val="22"/>
          <w:szCs w:val="22"/>
          <w:u w:val="single"/>
          <w:lang w:val="uk-UA"/>
        </w:rPr>
        <w:t>Проект рішення</w:t>
      </w:r>
      <w:r w:rsidRPr="00243AB3">
        <w:rPr>
          <w:rFonts w:ascii="Arial" w:hAnsi="Arial" w:cs="Arial"/>
          <w:sz w:val="22"/>
          <w:szCs w:val="22"/>
          <w:lang w:val="uk-UA"/>
        </w:rPr>
        <w:t>:</w:t>
      </w:r>
      <w:r w:rsidRPr="00243AB3">
        <w:rPr>
          <w:rFonts w:ascii="Arial" w:hAnsi="Arial" w:cs="Arial"/>
          <w:bCs/>
          <w:sz w:val="22"/>
          <w:szCs w:val="22"/>
          <w:lang w:val="uk-UA"/>
        </w:rPr>
        <w:t xml:space="preserve"> Затвердити звіт </w:t>
      </w:r>
      <w:r w:rsidRPr="00243AB3">
        <w:rPr>
          <w:rFonts w:ascii="Arial" w:hAnsi="Arial" w:cs="Arial"/>
          <w:sz w:val="22"/>
          <w:szCs w:val="22"/>
          <w:lang w:val="uk-UA"/>
        </w:rPr>
        <w:t>наглядової ради</w:t>
      </w:r>
      <w:r w:rsidRPr="00243AB3">
        <w:rPr>
          <w:rFonts w:ascii="Arial" w:hAnsi="Arial" w:cs="Arial"/>
          <w:bCs/>
          <w:sz w:val="22"/>
          <w:szCs w:val="22"/>
          <w:lang w:val="uk-UA"/>
        </w:rPr>
        <w:t xml:space="preserve"> за 2019 рік.</w:t>
      </w:r>
    </w:p>
    <w:p w:rsidR="00FD67ED" w:rsidRPr="00243AB3" w:rsidRDefault="00FD67ED" w:rsidP="00FD67ED">
      <w:pPr>
        <w:rPr>
          <w:rFonts w:ascii="Arial" w:hAnsi="Arial" w:cs="Arial"/>
          <w:b/>
          <w:bCs/>
          <w:sz w:val="22"/>
          <w:szCs w:val="22"/>
          <w:lang w:val="uk-UA"/>
        </w:rPr>
      </w:pPr>
      <w:r w:rsidRPr="00243AB3">
        <w:rPr>
          <w:rFonts w:ascii="Arial" w:hAnsi="Arial" w:cs="Arial"/>
          <w:b/>
          <w:bCs/>
          <w:sz w:val="22"/>
          <w:szCs w:val="22"/>
          <w:lang w:val="uk-UA"/>
        </w:rPr>
        <w:t>4. Затвердження річного звіту</w:t>
      </w:r>
      <w:r w:rsidRPr="00243AB3">
        <w:rPr>
          <w:rFonts w:ascii="Arial" w:hAnsi="Arial" w:cs="Arial"/>
          <w:b/>
          <w:sz w:val="22"/>
          <w:szCs w:val="22"/>
          <w:lang w:val="uk-UA"/>
        </w:rPr>
        <w:t>.</w:t>
      </w:r>
    </w:p>
    <w:p w:rsidR="00FD67ED" w:rsidRPr="00243AB3" w:rsidRDefault="00FD67ED" w:rsidP="00FD67ED">
      <w:pPr>
        <w:rPr>
          <w:rFonts w:ascii="Arial" w:hAnsi="Arial" w:cs="Arial"/>
          <w:bCs/>
          <w:sz w:val="22"/>
          <w:szCs w:val="22"/>
          <w:lang w:val="uk-UA"/>
        </w:rPr>
      </w:pPr>
      <w:r w:rsidRPr="00243AB3">
        <w:rPr>
          <w:rStyle w:val="a7"/>
          <w:rFonts w:ascii="Arial" w:hAnsi="Arial" w:cs="Arial"/>
          <w:b w:val="0"/>
          <w:sz w:val="22"/>
          <w:szCs w:val="22"/>
          <w:u w:val="single"/>
          <w:lang w:val="uk-UA"/>
        </w:rPr>
        <w:t>Проект рішення</w:t>
      </w:r>
      <w:r w:rsidRPr="00243AB3">
        <w:rPr>
          <w:rFonts w:ascii="Arial" w:hAnsi="Arial" w:cs="Arial"/>
          <w:sz w:val="22"/>
          <w:szCs w:val="22"/>
          <w:lang w:val="uk-UA"/>
        </w:rPr>
        <w:t>:</w:t>
      </w:r>
      <w:r w:rsidRPr="00243AB3">
        <w:rPr>
          <w:rFonts w:ascii="Arial" w:hAnsi="Arial" w:cs="Arial"/>
          <w:bCs/>
          <w:sz w:val="22"/>
          <w:szCs w:val="22"/>
          <w:lang w:val="uk-UA"/>
        </w:rPr>
        <w:t xml:space="preserve"> Затвердити річний звіт за 2019 рік.</w:t>
      </w:r>
    </w:p>
    <w:p w:rsidR="00FD67ED" w:rsidRPr="00243AB3" w:rsidRDefault="00FD67ED" w:rsidP="00FD67ED">
      <w:pPr>
        <w:rPr>
          <w:rFonts w:ascii="Arial" w:hAnsi="Arial" w:cs="Arial"/>
          <w:b/>
          <w:bCs/>
          <w:sz w:val="22"/>
          <w:szCs w:val="22"/>
          <w:lang w:val="uk-UA"/>
        </w:rPr>
      </w:pPr>
      <w:r w:rsidRPr="00243AB3">
        <w:rPr>
          <w:rFonts w:ascii="Arial" w:hAnsi="Arial" w:cs="Arial"/>
          <w:b/>
          <w:bCs/>
          <w:sz w:val="22"/>
          <w:szCs w:val="22"/>
          <w:lang w:val="uk-UA"/>
        </w:rPr>
        <w:t xml:space="preserve">5. Розподіл прибутку і збитків. </w:t>
      </w:r>
      <w:r w:rsidRPr="00243AB3">
        <w:rPr>
          <w:rFonts w:ascii="Arial" w:hAnsi="Arial" w:cs="Arial"/>
          <w:b/>
          <w:sz w:val="22"/>
          <w:szCs w:val="22"/>
          <w:lang w:val="uk-UA"/>
        </w:rPr>
        <w:t>Затвердження способу виплати дивідендів.</w:t>
      </w:r>
    </w:p>
    <w:p w:rsidR="00FD67ED" w:rsidRPr="00243AB3" w:rsidRDefault="00FD67ED" w:rsidP="00FD67ED">
      <w:pPr>
        <w:jc w:val="both"/>
        <w:rPr>
          <w:rFonts w:ascii="Arial" w:hAnsi="Arial" w:cs="Arial"/>
          <w:sz w:val="22"/>
          <w:szCs w:val="22"/>
          <w:lang w:val="uk-UA"/>
        </w:rPr>
      </w:pPr>
      <w:r w:rsidRPr="00243AB3">
        <w:rPr>
          <w:rStyle w:val="a7"/>
          <w:rFonts w:ascii="Arial" w:hAnsi="Arial" w:cs="Arial"/>
          <w:b w:val="0"/>
          <w:sz w:val="22"/>
          <w:szCs w:val="22"/>
          <w:u w:val="single"/>
          <w:lang w:val="uk-UA"/>
        </w:rPr>
        <w:t>Проект рішення</w:t>
      </w:r>
      <w:r w:rsidRPr="00243AB3">
        <w:rPr>
          <w:rFonts w:ascii="Arial" w:hAnsi="Arial" w:cs="Arial"/>
          <w:b/>
          <w:sz w:val="22"/>
          <w:szCs w:val="22"/>
          <w:lang w:val="uk-UA"/>
        </w:rPr>
        <w:t>:</w:t>
      </w:r>
      <w:r w:rsidRPr="00243AB3">
        <w:rPr>
          <w:rFonts w:ascii="Arial" w:hAnsi="Arial" w:cs="Arial"/>
          <w:bCs/>
          <w:sz w:val="22"/>
          <w:szCs w:val="22"/>
          <w:lang w:val="uk-UA"/>
        </w:rPr>
        <w:t xml:space="preserve"> </w:t>
      </w:r>
      <w:r w:rsidRPr="00243AB3">
        <w:rPr>
          <w:rFonts w:ascii="Arial" w:hAnsi="Arial" w:cs="Arial"/>
          <w:sz w:val="22"/>
          <w:szCs w:val="22"/>
          <w:lang w:val="uk-UA"/>
        </w:rPr>
        <w:t xml:space="preserve">Чистий прибуток товариства за 2019 рік в розмірі </w:t>
      </w:r>
      <w:r w:rsidRPr="00243AB3">
        <w:rPr>
          <w:rFonts w:ascii="Arial" w:hAnsi="Arial" w:cs="Arial"/>
          <w:sz w:val="22"/>
          <w:szCs w:val="22"/>
          <w:shd w:val="clear" w:color="auto" w:fill="FFFFFF"/>
          <w:lang w:val="uk-UA"/>
        </w:rPr>
        <w:t xml:space="preserve">6268984,86 </w:t>
      </w:r>
      <w:r w:rsidRPr="00243AB3">
        <w:rPr>
          <w:rStyle w:val="xfm01618953"/>
          <w:rFonts w:ascii="Arial" w:hAnsi="Arial" w:cs="Arial"/>
          <w:sz w:val="22"/>
          <w:szCs w:val="22"/>
          <w:lang w:val="uk-UA"/>
        </w:rPr>
        <w:t xml:space="preserve">грн. </w:t>
      </w:r>
      <w:r w:rsidRPr="00243AB3">
        <w:rPr>
          <w:rFonts w:ascii="Arial" w:hAnsi="Arial" w:cs="Arial"/>
          <w:sz w:val="22"/>
          <w:szCs w:val="22"/>
          <w:lang w:val="uk-UA"/>
        </w:rPr>
        <w:t xml:space="preserve">розподілити наступним чином: </w:t>
      </w:r>
      <w:r w:rsidRPr="00243AB3">
        <w:rPr>
          <w:rFonts w:ascii="Arial" w:hAnsi="Arial" w:cs="Arial"/>
          <w:sz w:val="22"/>
          <w:szCs w:val="22"/>
          <w:shd w:val="clear" w:color="auto" w:fill="FFFFFF"/>
          <w:lang w:val="uk-UA"/>
        </w:rPr>
        <w:t xml:space="preserve">3348376,00 </w:t>
      </w:r>
      <w:r w:rsidRPr="00243AB3">
        <w:rPr>
          <w:rFonts w:ascii="Arial" w:hAnsi="Arial" w:cs="Arial"/>
          <w:sz w:val="22"/>
          <w:szCs w:val="22"/>
          <w:lang w:val="uk-UA"/>
        </w:rPr>
        <w:t>грн. направити на виплату дивідендів (</w:t>
      </w:r>
      <w:r w:rsidRPr="00243AB3">
        <w:rPr>
          <w:rFonts w:ascii="Arial" w:hAnsi="Arial" w:cs="Arial"/>
          <w:sz w:val="22"/>
          <w:szCs w:val="22"/>
          <w:shd w:val="clear" w:color="auto" w:fill="FFFFFF"/>
          <w:lang w:val="uk-UA"/>
        </w:rPr>
        <w:t xml:space="preserve">2,00 </w:t>
      </w:r>
      <w:r w:rsidRPr="00243AB3">
        <w:rPr>
          <w:rFonts w:ascii="Arial" w:hAnsi="Arial" w:cs="Arial"/>
          <w:sz w:val="22"/>
          <w:szCs w:val="22"/>
          <w:lang w:val="uk-UA"/>
        </w:rPr>
        <w:t xml:space="preserve">грн. на  одну акцію); </w:t>
      </w:r>
      <w:r w:rsidRPr="00243AB3">
        <w:rPr>
          <w:rFonts w:ascii="Arial" w:hAnsi="Arial" w:cs="Arial"/>
          <w:sz w:val="22"/>
          <w:szCs w:val="22"/>
          <w:lang w:val="uk-UA"/>
        </w:rPr>
        <w:br/>
      </w:r>
      <w:r w:rsidRPr="00243AB3">
        <w:rPr>
          <w:rFonts w:ascii="Arial" w:hAnsi="Arial" w:cs="Arial"/>
          <w:sz w:val="22"/>
          <w:szCs w:val="22"/>
          <w:shd w:val="clear" w:color="auto" w:fill="FFFFFF"/>
          <w:lang w:val="uk-UA"/>
        </w:rPr>
        <w:t xml:space="preserve">2920608,86 </w:t>
      </w:r>
      <w:r w:rsidRPr="00243AB3">
        <w:rPr>
          <w:rStyle w:val="xfm01618953"/>
          <w:rFonts w:ascii="Arial" w:hAnsi="Arial" w:cs="Arial"/>
          <w:sz w:val="22"/>
          <w:szCs w:val="22"/>
          <w:lang w:val="uk-UA"/>
        </w:rPr>
        <w:t xml:space="preserve"> </w:t>
      </w:r>
      <w:r w:rsidRPr="00243AB3">
        <w:rPr>
          <w:rFonts w:ascii="Arial" w:hAnsi="Arial" w:cs="Arial"/>
          <w:sz w:val="22"/>
          <w:szCs w:val="22"/>
          <w:lang w:val="uk-UA"/>
        </w:rPr>
        <w:t>грн. залишити нерозподіленим. Затвердити спосіб виплати дивідендів - безпосередньо акціонерам.</w:t>
      </w:r>
    </w:p>
    <w:p w:rsidR="00FD67ED" w:rsidRPr="00243AB3" w:rsidRDefault="00FD67ED" w:rsidP="00FD67ED">
      <w:pPr>
        <w:pStyle w:val="a5"/>
        <w:jc w:val="both"/>
        <w:rPr>
          <w:rFonts w:cs="Arial"/>
          <w:sz w:val="22"/>
          <w:szCs w:val="22"/>
          <w:lang w:val="uk-UA"/>
        </w:rPr>
      </w:pPr>
    </w:p>
    <w:p w:rsidR="00FD67ED" w:rsidRPr="00243AB3" w:rsidRDefault="00FD67ED" w:rsidP="00FD67ED">
      <w:pPr>
        <w:pStyle w:val="a5"/>
        <w:jc w:val="both"/>
        <w:rPr>
          <w:rFonts w:cs="Arial"/>
          <w:sz w:val="22"/>
          <w:szCs w:val="22"/>
          <w:lang w:val="uk-UA"/>
        </w:rPr>
      </w:pPr>
      <w:r w:rsidRPr="00243AB3">
        <w:rPr>
          <w:rFonts w:cs="Arial"/>
          <w:sz w:val="22"/>
          <w:szCs w:val="22"/>
          <w:lang w:val="uk-UA"/>
        </w:rPr>
        <w:t>Основні показники фінансово-господарської діяльності підприємства (тис. грн.)</w:t>
      </w:r>
    </w:p>
    <w:p w:rsidR="00FD67ED" w:rsidRPr="00243AB3" w:rsidRDefault="00FD67ED" w:rsidP="00FD67ED">
      <w:pPr>
        <w:pStyle w:val="a5"/>
        <w:jc w:val="both"/>
        <w:rPr>
          <w:rFonts w:cs="Arial"/>
          <w:sz w:val="22"/>
          <w:szCs w:val="22"/>
          <w:lang w:val="uk-UA"/>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2"/>
        <w:gridCol w:w="1608"/>
        <w:gridCol w:w="1440"/>
      </w:tblGrid>
      <w:tr w:rsidR="00FD67ED" w:rsidRPr="00243AB3" w:rsidTr="001E668E">
        <w:trPr>
          <w:cantSplit/>
        </w:trPr>
        <w:tc>
          <w:tcPr>
            <w:tcW w:w="6132" w:type="dxa"/>
            <w:vMerge w:val="restart"/>
            <w:vAlign w:val="center"/>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Найменування показника</w:t>
            </w:r>
          </w:p>
        </w:tc>
        <w:tc>
          <w:tcPr>
            <w:tcW w:w="3048" w:type="dxa"/>
            <w:gridSpan w:val="2"/>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період</w:t>
            </w:r>
          </w:p>
        </w:tc>
      </w:tr>
      <w:tr w:rsidR="00FD67ED" w:rsidRPr="00243AB3" w:rsidTr="001E668E">
        <w:trPr>
          <w:cantSplit/>
        </w:trPr>
        <w:tc>
          <w:tcPr>
            <w:tcW w:w="6132" w:type="dxa"/>
            <w:vMerge/>
          </w:tcPr>
          <w:p w:rsidR="00FD67ED" w:rsidRPr="00243AB3" w:rsidRDefault="00FD67ED" w:rsidP="001E668E">
            <w:pPr>
              <w:rPr>
                <w:rFonts w:ascii="Arial" w:hAnsi="Arial" w:cs="Arial"/>
                <w:sz w:val="22"/>
                <w:szCs w:val="22"/>
                <w:lang w:val="uk-UA"/>
              </w:rPr>
            </w:pPr>
          </w:p>
        </w:tc>
        <w:tc>
          <w:tcPr>
            <w:tcW w:w="1608" w:type="dxa"/>
          </w:tcPr>
          <w:p w:rsidR="00FD67ED" w:rsidRPr="00243AB3" w:rsidRDefault="00FD67ED" w:rsidP="001E668E">
            <w:pPr>
              <w:jc w:val="center"/>
              <w:rPr>
                <w:rFonts w:ascii="Arial" w:hAnsi="Arial" w:cs="Arial"/>
                <w:i/>
                <w:sz w:val="22"/>
                <w:szCs w:val="22"/>
                <w:lang w:val="uk-UA"/>
              </w:rPr>
            </w:pPr>
            <w:r w:rsidRPr="00243AB3">
              <w:rPr>
                <w:rFonts w:ascii="Arial" w:hAnsi="Arial" w:cs="Arial"/>
                <w:i/>
                <w:sz w:val="22"/>
                <w:szCs w:val="22"/>
                <w:lang w:val="uk-UA"/>
              </w:rPr>
              <w:t xml:space="preserve">звітний </w:t>
            </w:r>
          </w:p>
        </w:tc>
        <w:tc>
          <w:tcPr>
            <w:tcW w:w="1440" w:type="dxa"/>
          </w:tcPr>
          <w:p w:rsidR="00FD67ED" w:rsidRPr="00243AB3" w:rsidRDefault="00FD67ED" w:rsidP="001E668E">
            <w:pPr>
              <w:jc w:val="center"/>
              <w:rPr>
                <w:rFonts w:ascii="Arial" w:hAnsi="Arial" w:cs="Arial"/>
                <w:i/>
                <w:sz w:val="22"/>
                <w:szCs w:val="22"/>
                <w:lang w:val="uk-UA"/>
              </w:rPr>
            </w:pPr>
            <w:r w:rsidRPr="00243AB3">
              <w:rPr>
                <w:rFonts w:ascii="Arial" w:hAnsi="Arial" w:cs="Arial"/>
                <w:i/>
                <w:sz w:val="22"/>
                <w:szCs w:val="22"/>
                <w:lang w:val="uk-UA"/>
              </w:rPr>
              <w:t>попередній</w:t>
            </w:r>
          </w:p>
        </w:tc>
      </w:tr>
      <w:tr w:rsidR="00FD67ED" w:rsidRPr="00243AB3" w:rsidTr="001E668E">
        <w:trPr>
          <w:cantSplit/>
        </w:trPr>
        <w:tc>
          <w:tcPr>
            <w:tcW w:w="6132" w:type="dxa"/>
          </w:tcPr>
          <w:p w:rsidR="00FD67ED" w:rsidRPr="00243AB3" w:rsidRDefault="00FD67ED" w:rsidP="001E668E">
            <w:pPr>
              <w:rPr>
                <w:rFonts w:ascii="Arial" w:hAnsi="Arial" w:cs="Arial"/>
                <w:sz w:val="22"/>
                <w:szCs w:val="22"/>
                <w:lang w:val="uk-UA"/>
              </w:rPr>
            </w:pPr>
            <w:r w:rsidRPr="00243AB3">
              <w:rPr>
                <w:rFonts w:ascii="Arial" w:hAnsi="Arial" w:cs="Arial"/>
                <w:sz w:val="22"/>
                <w:szCs w:val="22"/>
                <w:lang w:val="uk-UA"/>
              </w:rPr>
              <w:t>Усього активів</w:t>
            </w:r>
          </w:p>
        </w:tc>
        <w:tc>
          <w:tcPr>
            <w:tcW w:w="1608" w:type="dxa"/>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56840,3</w:t>
            </w:r>
          </w:p>
        </w:tc>
        <w:tc>
          <w:tcPr>
            <w:tcW w:w="1440" w:type="dxa"/>
          </w:tcPr>
          <w:p w:rsidR="00FD67ED" w:rsidRPr="00243AB3" w:rsidRDefault="00FD67ED" w:rsidP="001E668E">
            <w:pPr>
              <w:jc w:val="center"/>
              <w:rPr>
                <w:rFonts w:ascii="Arial" w:hAnsi="Arial" w:cs="Arial"/>
                <w:sz w:val="22"/>
                <w:szCs w:val="22"/>
                <w:lang w:val="uk-UA"/>
              </w:rPr>
            </w:pPr>
            <w:bookmarkStart w:id="0" w:name="z11"/>
            <w:bookmarkEnd w:id="0"/>
            <w:r w:rsidRPr="00243AB3">
              <w:rPr>
                <w:rFonts w:ascii="Arial" w:hAnsi="Arial" w:cs="Arial"/>
                <w:sz w:val="22"/>
                <w:szCs w:val="22"/>
                <w:lang w:val="uk-UA"/>
              </w:rPr>
              <w:t>51742,8</w:t>
            </w:r>
          </w:p>
        </w:tc>
      </w:tr>
      <w:tr w:rsidR="00FD67ED" w:rsidRPr="00243AB3" w:rsidTr="001E668E">
        <w:tc>
          <w:tcPr>
            <w:tcW w:w="6132" w:type="dxa"/>
          </w:tcPr>
          <w:p w:rsidR="00FD67ED" w:rsidRPr="00243AB3" w:rsidRDefault="00FD67ED" w:rsidP="001E668E">
            <w:pPr>
              <w:rPr>
                <w:rFonts w:ascii="Arial" w:hAnsi="Arial" w:cs="Arial"/>
                <w:sz w:val="22"/>
                <w:szCs w:val="22"/>
                <w:lang w:val="uk-UA"/>
              </w:rPr>
            </w:pPr>
            <w:r w:rsidRPr="00243AB3">
              <w:rPr>
                <w:rFonts w:ascii="Arial" w:hAnsi="Arial" w:cs="Arial"/>
                <w:sz w:val="22"/>
                <w:szCs w:val="22"/>
                <w:lang w:val="uk-UA"/>
              </w:rPr>
              <w:t>Основні засоби (за залишковою вартістю)</w:t>
            </w:r>
          </w:p>
        </w:tc>
        <w:tc>
          <w:tcPr>
            <w:tcW w:w="1608" w:type="dxa"/>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2498,5</w:t>
            </w:r>
          </w:p>
        </w:tc>
        <w:tc>
          <w:tcPr>
            <w:tcW w:w="1440" w:type="dxa"/>
          </w:tcPr>
          <w:p w:rsidR="00FD67ED" w:rsidRPr="00243AB3" w:rsidRDefault="00FD67ED" w:rsidP="001E668E">
            <w:pPr>
              <w:jc w:val="center"/>
              <w:rPr>
                <w:rFonts w:ascii="Arial" w:hAnsi="Arial" w:cs="Arial"/>
                <w:sz w:val="22"/>
                <w:szCs w:val="22"/>
                <w:lang w:val="uk-UA"/>
              </w:rPr>
            </w:pPr>
            <w:bookmarkStart w:id="1" w:name="z13"/>
            <w:bookmarkEnd w:id="1"/>
            <w:r w:rsidRPr="00243AB3">
              <w:rPr>
                <w:rFonts w:ascii="Arial" w:hAnsi="Arial" w:cs="Arial"/>
                <w:sz w:val="22"/>
                <w:szCs w:val="22"/>
                <w:lang w:val="uk-UA"/>
              </w:rPr>
              <w:t>2589,4</w:t>
            </w:r>
          </w:p>
        </w:tc>
      </w:tr>
      <w:tr w:rsidR="00FD67ED" w:rsidRPr="00243AB3" w:rsidTr="001E668E">
        <w:tc>
          <w:tcPr>
            <w:tcW w:w="6132" w:type="dxa"/>
          </w:tcPr>
          <w:p w:rsidR="00FD67ED" w:rsidRPr="00243AB3" w:rsidRDefault="00FD67ED" w:rsidP="001E668E">
            <w:pPr>
              <w:rPr>
                <w:rFonts w:ascii="Arial" w:hAnsi="Arial" w:cs="Arial"/>
                <w:sz w:val="22"/>
                <w:szCs w:val="22"/>
                <w:lang w:val="uk-UA"/>
              </w:rPr>
            </w:pPr>
            <w:r w:rsidRPr="00243AB3">
              <w:rPr>
                <w:rFonts w:ascii="Arial" w:hAnsi="Arial" w:cs="Arial"/>
                <w:sz w:val="22"/>
                <w:szCs w:val="22"/>
                <w:lang w:val="uk-UA"/>
              </w:rPr>
              <w:t>Запаси</w:t>
            </w:r>
          </w:p>
        </w:tc>
        <w:tc>
          <w:tcPr>
            <w:tcW w:w="1608" w:type="dxa"/>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19845,0</w:t>
            </w:r>
          </w:p>
        </w:tc>
        <w:tc>
          <w:tcPr>
            <w:tcW w:w="1440" w:type="dxa"/>
          </w:tcPr>
          <w:p w:rsidR="00FD67ED" w:rsidRPr="00243AB3" w:rsidRDefault="00FD67ED" w:rsidP="001E668E">
            <w:pPr>
              <w:jc w:val="center"/>
              <w:rPr>
                <w:rFonts w:ascii="Arial" w:hAnsi="Arial" w:cs="Arial"/>
                <w:sz w:val="22"/>
                <w:szCs w:val="22"/>
                <w:lang w:val="uk-UA"/>
              </w:rPr>
            </w:pPr>
            <w:bookmarkStart w:id="2" w:name="z15"/>
            <w:bookmarkEnd w:id="2"/>
            <w:r w:rsidRPr="00243AB3">
              <w:rPr>
                <w:rFonts w:ascii="Arial" w:hAnsi="Arial" w:cs="Arial"/>
                <w:sz w:val="22"/>
                <w:szCs w:val="22"/>
                <w:lang w:val="uk-UA"/>
              </w:rPr>
              <w:t>21642,9</w:t>
            </w:r>
          </w:p>
        </w:tc>
      </w:tr>
      <w:tr w:rsidR="00FD67ED" w:rsidRPr="00243AB3" w:rsidTr="001E668E">
        <w:tc>
          <w:tcPr>
            <w:tcW w:w="6132" w:type="dxa"/>
          </w:tcPr>
          <w:p w:rsidR="00FD67ED" w:rsidRPr="00243AB3" w:rsidRDefault="00FD67ED" w:rsidP="001E668E">
            <w:pPr>
              <w:rPr>
                <w:rFonts w:ascii="Arial" w:hAnsi="Arial" w:cs="Arial"/>
                <w:sz w:val="22"/>
                <w:szCs w:val="22"/>
                <w:lang w:val="uk-UA"/>
              </w:rPr>
            </w:pPr>
            <w:r w:rsidRPr="00243AB3">
              <w:rPr>
                <w:rFonts w:ascii="Arial" w:hAnsi="Arial" w:cs="Arial"/>
                <w:sz w:val="22"/>
                <w:szCs w:val="22"/>
                <w:lang w:val="uk-UA"/>
              </w:rPr>
              <w:t>Сумарна дебіторська заборгованість</w:t>
            </w:r>
          </w:p>
        </w:tc>
        <w:tc>
          <w:tcPr>
            <w:tcW w:w="1608" w:type="dxa"/>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156,3</w:t>
            </w:r>
          </w:p>
        </w:tc>
        <w:tc>
          <w:tcPr>
            <w:tcW w:w="1440" w:type="dxa"/>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3485,8</w:t>
            </w:r>
          </w:p>
        </w:tc>
      </w:tr>
      <w:tr w:rsidR="00FD67ED" w:rsidRPr="00243AB3" w:rsidTr="001E668E">
        <w:tc>
          <w:tcPr>
            <w:tcW w:w="6132" w:type="dxa"/>
          </w:tcPr>
          <w:p w:rsidR="00FD67ED" w:rsidRPr="00243AB3" w:rsidRDefault="00FD67ED" w:rsidP="001E668E">
            <w:pPr>
              <w:rPr>
                <w:rFonts w:ascii="Arial" w:hAnsi="Arial" w:cs="Arial"/>
                <w:sz w:val="22"/>
                <w:szCs w:val="22"/>
                <w:lang w:val="uk-UA"/>
              </w:rPr>
            </w:pPr>
            <w:r w:rsidRPr="00243AB3">
              <w:rPr>
                <w:rFonts w:ascii="Arial" w:hAnsi="Arial" w:cs="Arial"/>
                <w:sz w:val="22"/>
                <w:szCs w:val="22"/>
                <w:lang w:val="uk-UA"/>
              </w:rPr>
              <w:t>Гроші та їх еквіваленти</w:t>
            </w:r>
          </w:p>
        </w:tc>
        <w:tc>
          <w:tcPr>
            <w:tcW w:w="1608" w:type="dxa"/>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31959,1</w:t>
            </w:r>
          </w:p>
        </w:tc>
        <w:tc>
          <w:tcPr>
            <w:tcW w:w="1440" w:type="dxa"/>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22720,5</w:t>
            </w:r>
          </w:p>
        </w:tc>
      </w:tr>
      <w:tr w:rsidR="00FD67ED" w:rsidRPr="00243AB3" w:rsidTr="001E668E">
        <w:tc>
          <w:tcPr>
            <w:tcW w:w="6132" w:type="dxa"/>
          </w:tcPr>
          <w:p w:rsidR="00FD67ED" w:rsidRPr="00243AB3" w:rsidRDefault="00FD67ED" w:rsidP="001E668E">
            <w:pPr>
              <w:rPr>
                <w:rFonts w:ascii="Arial" w:hAnsi="Arial" w:cs="Arial"/>
                <w:sz w:val="22"/>
                <w:szCs w:val="22"/>
                <w:lang w:val="uk-UA"/>
              </w:rPr>
            </w:pPr>
            <w:r w:rsidRPr="00243AB3">
              <w:rPr>
                <w:rFonts w:ascii="Arial" w:hAnsi="Arial" w:cs="Arial"/>
                <w:sz w:val="22"/>
                <w:szCs w:val="22"/>
                <w:lang w:val="uk-UA"/>
              </w:rPr>
              <w:t>Нерозподілений прибуток (непокритий збиток)</w:t>
            </w:r>
          </w:p>
        </w:tc>
        <w:tc>
          <w:tcPr>
            <w:tcW w:w="1608" w:type="dxa"/>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53755,5</w:t>
            </w:r>
          </w:p>
        </w:tc>
        <w:tc>
          <w:tcPr>
            <w:tcW w:w="1440" w:type="dxa"/>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48323,6</w:t>
            </w:r>
          </w:p>
        </w:tc>
      </w:tr>
      <w:tr w:rsidR="00FD67ED" w:rsidRPr="00243AB3" w:rsidTr="001E668E">
        <w:tc>
          <w:tcPr>
            <w:tcW w:w="6132" w:type="dxa"/>
          </w:tcPr>
          <w:p w:rsidR="00FD67ED" w:rsidRPr="00243AB3" w:rsidRDefault="00FD67ED" w:rsidP="001E668E">
            <w:pPr>
              <w:rPr>
                <w:rFonts w:ascii="Arial" w:hAnsi="Arial" w:cs="Arial"/>
                <w:sz w:val="22"/>
                <w:szCs w:val="22"/>
                <w:lang w:val="uk-UA"/>
              </w:rPr>
            </w:pPr>
            <w:r w:rsidRPr="00243AB3">
              <w:rPr>
                <w:rFonts w:ascii="Arial" w:hAnsi="Arial" w:cs="Arial"/>
                <w:sz w:val="22"/>
                <w:szCs w:val="22"/>
                <w:lang w:val="uk-UA"/>
              </w:rPr>
              <w:t>Власний капітал</w:t>
            </w:r>
          </w:p>
        </w:tc>
        <w:tc>
          <w:tcPr>
            <w:tcW w:w="1608" w:type="dxa"/>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56118,1</w:t>
            </w:r>
          </w:p>
        </w:tc>
        <w:tc>
          <w:tcPr>
            <w:tcW w:w="1440" w:type="dxa"/>
          </w:tcPr>
          <w:p w:rsidR="00FD67ED" w:rsidRPr="00243AB3" w:rsidRDefault="00FD67ED" w:rsidP="001E668E">
            <w:pPr>
              <w:jc w:val="center"/>
              <w:rPr>
                <w:rFonts w:ascii="Arial" w:hAnsi="Arial" w:cs="Arial"/>
                <w:sz w:val="22"/>
                <w:szCs w:val="22"/>
                <w:lang w:val="uk-UA"/>
              </w:rPr>
            </w:pPr>
            <w:bookmarkStart w:id="3" w:name="z23"/>
            <w:bookmarkEnd w:id="3"/>
            <w:r w:rsidRPr="00243AB3">
              <w:rPr>
                <w:rFonts w:ascii="Arial" w:hAnsi="Arial" w:cs="Arial"/>
                <w:sz w:val="22"/>
                <w:szCs w:val="22"/>
                <w:lang w:val="uk-UA"/>
              </w:rPr>
              <w:t>50686,2</w:t>
            </w:r>
          </w:p>
        </w:tc>
      </w:tr>
      <w:tr w:rsidR="00FD67ED" w:rsidRPr="00243AB3" w:rsidTr="001E668E">
        <w:tc>
          <w:tcPr>
            <w:tcW w:w="6132" w:type="dxa"/>
          </w:tcPr>
          <w:p w:rsidR="00FD67ED" w:rsidRPr="00243AB3" w:rsidRDefault="00FD67ED" w:rsidP="001E668E">
            <w:pPr>
              <w:rPr>
                <w:rFonts w:ascii="Arial" w:hAnsi="Arial" w:cs="Arial"/>
                <w:sz w:val="22"/>
                <w:szCs w:val="22"/>
                <w:lang w:val="uk-UA"/>
              </w:rPr>
            </w:pPr>
            <w:r w:rsidRPr="00243AB3">
              <w:rPr>
                <w:rFonts w:ascii="Arial" w:hAnsi="Arial" w:cs="Arial"/>
                <w:sz w:val="22"/>
                <w:szCs w:val="22"/>
                <w:lang w:val="uk-UA"/>
              </w:rPr>
              <w:t>Зареєстрований (пайовий/статутний) капітал</w:t>
            </w:r>
          </w:p>
        </w:tc>
        <w:tc>
          <w:tcPr>
            <w:tcW w:w="1608" w:type="dxa"/>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418,6</w:t>
            </w:r>
          </w:p>
        </w:tc>
        <w:tc>
          <w:tcPr>
            <w:tcW w:w="1440" w:type="dxa"/>
          </w:tcPr>
          <w:p w:rsidR="00FD67ED" w:rsidRPr="00243AB3" w:rsidRDefault="00FD67ED" w:rsidP="001E668E">
            <w:pPr>
              <w:jc w:val="center"/>
              <w:rPr>
                <w:rFonts w:ascii="Arial" w:hAnsi="Arial" w:cs="Arial"/>
                <w:sz w:val="22"/>
                <w:szCs w:val="22"/>
                <w:lang w:val="uk-UA"/>
              </w:rPr>
            </w:pPr>
            <w:bookmarkStart w:id="4" w:name="z25"/>
            <w:bookmarkEnd w:id="4"/>
            <w:r w:rsidRPr="00243AB3">
              <w:rPr>
                <w:rFonts w:ascii="Arial" w:hAnsi="Arial" w:cs="Arial"/>
                <w:sz w:val="22"/>
                <w:szCs w:val="22"/>
                <w:lang w:val="uk-UA"/>
              </w:rPr>
              <w:t>418,6</w:t>
            </w:r>
          </w:p>
        </w:tc>
      </w:tr>
      <w:tr w:rsidR="00FD67ED" w:rsidRPr="00243AB3" w:rsidTr="001E668E">
        <w:tc>
          <w:tcPr>
            <w:tcW w:w="6132" w:type="dxa"/>
          </w:tcPr>
          <w:p w:rsidR="00FD67ED" w:rsidRPr="00243AB3" w:rsidRDefault="00FD67ED" w:rsidP="001E668E">
            <w:pPr>
              <w:rPr>
                <w:rFonts w:ascii="Arial" w:hAnsi="Arial" w:cs="Arial"/>
                <w:sz w:val="22"/>
                <w:szCs w:val="22"/>
                <w:lang w:val="uk-UA"/>
              </w:rPr>
            </w:pPr>
            <w:r w:rsidRPr="00243AB3">
              <w:rPr>
                <w:rFonts w:ascii="Arial" w:hAnsi="Arial" w:cs="Arial"/>
                <w:sz w:val="22"/>
                <w:szCs w:val="22"/>
                <w:lang w:val="uk-UA"/>
              </w:rPr>
              <w:t>Довгострокові зобов'язання і забезпечення</w:t>
            </w:r>
          </w:p>
        </w:tc>
        <w:tc>
          <w:tcPr>
            <w:tcW w:w="1608" w:type="dxa"/>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0</w:t>
            </w:r>
          </w:p>
        </w:tc>
        <w:tc>
          <w:tcPr>
            <w:tcW w:w="1440" w:type="dxa"/>
          </w:tcPr>
          <w:p w:rsidR="00FD67ED" w:rsidRPr="00243AB3" w:rsidRDefault="00FD67ED" w:rsidP="001E668E">
            <w:pPr>
              <w:jc w:val="center"/>
              <w:rPr>
                <w:rFonts w:ascii="Arial" w:hAnsi="Arial" w:cs="Arial"/>
                <w:sz w:val="22"/>
                <w:szCs w:val="22"/>
                <w:lang w:val="uk-UA"/>
              </w:rPr>
            </w:pPr>
            <w:bookmarkStart w:id="5" w:name="z27"/>
            <w:bookmarkEnd w:id="5"/>
            <w:r w:rsidRPr="00243AB3">
              <w:rPr>
                <w:rFonts w:ascii="Arial" w:hAnsi="Arial" w:cs="Arial"/>
                <w:sz w:val="22"/>
                <w:szCs w:val="22"/>
                <w:lang w:val="uk-UA"/>
              </w:rPr>
              <w:t>0</w:t>
            </w:r>
          </w:p>
        </w:tc>
      </w:tr>
      <w:tr w:rsidR="00FD67ED" w:rsidRPr="00243AB3" w:rsidTr="001E668E">
        <w:tc>
          <w:tcPr>
            <w:tcW w:w="6132" w:type="dxa"/>
          </w:tcPr>
          <w:p w:rsidR="00FD67ED" w:rsidRPr="00243AB3" w:rsidRDefault="00FD67ED" w:rsidP="001E668E">
            <w:pPr>
              <w:rPr>
                <w:rFonts w:ascii="Arial" w:hAnsi="Arial" w:cs="Arial"/>
                <w:sz w:val="22"/>
                <w:szCs w:val="22"/>
                <w:lang w:val="uk-UA"/>
              </w:rPr>
            </w:pPr>
            <w:r w:rsidRPr="00243AB3">
              <w:rPr>
                <w:rFonts w:ascii="Arial" w:hAnsi="Arial" w:cs="Arial"/>
                <w:sz w:val="22"/>
                <w:szCs w:val="22"/>
                <w:lang w:val="uk-UA"/>
              </w:rPr>
              <w:t>Поточні зобов'язання і забезпечення</w:t>
            </w:r>
          </w:p>
        </w:tc>
        <w:tc>
          <w:tcPr>
            <w:tcW w:w="1608" w:type="dxa"/>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722,2</w:t>
            </w:r>
          </w:p>
        </w:tc>
        <w:tc>
          <w:tcPr>
            <w:tcW w:w="1440" w:type="dxa"/>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1056,6</w:t>
            </w:r>
          </w:p>
        </w:tc>
      </w:tr>
      <w:tr w:rsidR="00FD67ED" w:rsidRPr="00243AB3" w:rsidTr="001E668E">
        <w:tc>
          <w:tcPr>
            <w:tcW w:w="6132" w:type="dxa"/>
          </w:tcPr>
          <w:p w:rsidR="00FD67ED" w:rsidRPr="00243AB3" w:rsidRDefault="00FD67ED" w:rsidP="001E668E">
            <w:pPr>
              <w:rPr>
                <w:rFonts w:ascii="Arial" w:hAnsi="Arial" w:cs="Arial"/>
                <w:sz w:val="22"/>
                <w:szCs w:val="22"/>
                <w:lang w:val="uk-UA"/>
              </w:rPr>
            </w:pPr>
            <w:r w:rsidRPr="00243AB3">
              <w:rPr>
                <w:rFonts w:ascii="Arial" w:hAnsi="Arial" w:cs="Arial"/>
                <w:sz w:val="22"/>
                <w:szCs w:val="22"/>
                <w:lang w:val="uk-UA"/>
              </w:rPr>
              <w:t>Чистий фінансовий результат: прибуток (збиток)</w:t>
            </w:r>
          </w:p>
        </w:tc>
        <w:tc>
          <w:tcPr>
            <w:tcW w:w="1608" w:type="dxa"/>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6269,1</w:t>
            </w:r>
          </w:p>
        </w:tc>
        <w:tc>
          <w:tcPr>
            <w:tcW w:w="1440" w:type="dxa"/>
          </w:tcPr>
          <w:p w:rsidR="00FD67ED" w:rsidRPr="00243AB3" w:rsidRDefault="00FD67ED" w:rsidP="001E668E">
            <w:pPr>
              <w:jc w:val="center"/>
              <w:rPr>
                <w:rFonts w:ascii="Arial" w:hAnsi="Arial" w:cs="Arial"/>
                <w:sz w:val="22"/>
                <w:szCs w:val="22"/>
                <w:lang w:val="uk-UA"/>
              </w:rPr>
            </w:pPr>
            <w:bookmarkStart w:id="6" w:name="z31"/>
            <w:bookmarkEnd w:id="6"/>
            <w:r w:rsidRPr="00243AB3">
              <w:rPr>
                <w:rFonts w:ascii="Arial" w:hAnsi="Arial" w:cs="Arial"/>
                <w:sz w:val="22"/>
                <w:szCs w:val="22"/>
                <w:lang w:val="uk-UA"/>
              </w:rPr>
              <w:t>10328,2</w:t>
            </w:r>
          </w:p>
        </w:tc>
      </w:tr>
      <w:tr w:rsidR="00FD67ED" w:rsidRPr="00243AB3" w:rsidTr="001E668E">
        <w:tc>
          <w:tcPr>
            <w:tcW w:w="6132" w:type="dxa"/>
          </w:tcPr>
          <w:p w:rsidR="00FD67ED" w:rsidRPr="00243AB3" w:rsidRDefault="00FD67ED" w:rsidP="001E668E">
            <w:pPr>
              <w:rPr>
                <w:rFonts w:ascii="Arial" w:hAnsi="Arial" w:cs="Arial"/>
                <w:sz w:val="22"/>
                <w:szCs w:val="22"/>
                <w:lang w:val="uk-UA"/>
              </w:rPr>
            </w:pPr>
            <w:r w:rsidRPr="00243AB3">
              <w:rPr>
                <w:rFonts w:ascii="Arial" w:hAnsi="Arial" w:cs="Arial"/>
                <w:sz w:val="22"/>
                <w:szCs w:val="22"/>
                <w:lang w:val="uk-UA"/>
              </w:rPr>
              <w:t>Середньорічна кількість акцій (шт.)</w:t>
            </w:r>
          </w:p>
        </w:tc>
        <w:tc>
          <w:tcPr>
            <w:tcW w:w="1608" w:type="dxa"/>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1674188</w:t>
            </w:r>
          </w:p>
        </w:tc>
        <w:tc>
          <w:tcPr>
            <w:tcW w:w="1440" w:type="dxa"/>
          </w:tcPr>
          <w:p w:rsidR="00FD67ED" w:rsidRPr="00243AB3" w:rsidRDefault="00FD67ED" w:rsidP="001E668E">
            <w:pPr>
              <w:jc w:val="center"/>
              <w:rPr>
                <w:rFonts w:ascii="Arial" w:hAnsi="Arial" w:cs="Arial"/>
                <w:sz w:val="22"/>
                <w:szCs w:val="22"/>
                <w:lang w:val="uk-UA"/>
              </w:rPr>
            </w:pPr>
            <w:bookmarkStart w:id="7" w:name="z33"/>
            <w:bookmarkEnd w:id="7"/>
            <w:r w:rsidRPr="00243AB3">
              <w:rPr>
                <w:rFonts w:ascii="Arial" w:hAnsi="Arial" w:cs="Arial"/>
                <w:sz w:val="22"/>
                <w:szCs w:val="22"/>
                <w:lang w:val="uk-UA"/>
              </w:rPr>
              <w:t>1674188</w:t>
            </w:r>
          </w:p>
        </w:tc>
      </w:tr>
      <w:tr w:rsidR="00FD67ED" w:rsidRPr="00243AB3" w:rsidTr="001E668E">
        <w:tc>
          <w:tcPr>
            <w:tcW w:w="6132" w:type="dxa"/>
          </w:tcPr>
          <w:p w:rsidR="00FD67ED" w:rsidRPr="00243AB3" w:rsidRDefault="00FD67ED" w:rsidP="001E668E">
            <w:pPr>
              <w:rPr>
                <w:rFonts w:ascii="Arial" w:hAnsi="Arial" w:cs="Arial"/>
                <w:sz w:val="22"/>
                <w:szCs w:val="22"/>
                <w:lang w:val="uk-UA"/>
              </w:rPr>
            </w:pPr>
            <w:r w:rsidRPr="00243AB3">
              <w:rPr>
                <w:rFonts w:ascii="Arial" w:hAnsi="Arial" w:cs="Arial"/>
                <w:sz w:val="22"/>
                <w:szCs w:val="22"/>
                <w:lang w:val="uk-UA"/>
              </w:rPr>
              <w:t>Чистий прибуток (збиток) на одну просту акцію (грн)</w:t>
            </w:r>
          </w:p>
        </w:tc>
        <w:tc>
          <w:tcPr>
            <w:tcW w:w="1608" w:type="dxa"/>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3,74456</w:t>
            </w:r>
          </w:p>
        </w:tc>
        <w:tc>
          <w:tcPr>
            <w:tcW w:w="1440" w:type="dxa"/>
          </w:tcPr>
          <w:p w:rsidR="00FD67ED" w:rsidRPr="00243AB3" w:rsidRDefault="00FD67ED" w:rsidP="001E668E">
            <w:pPr>
              <w:jc w:val="center"/>
              <w:rPr>
                <w:rFonts w:ascii="Arial" w:hAnsi="Arial" w:cs="Arial"/>
                <w:sz w:val="22"/>
                <w:szCs w:val="22"/>
                <w:lang w:val="uk-UA"/>
              </w:rPr>
            </w:pPr>
            <w:r w:rsidRPr="00243AB3">
              <w:rPr>
                <w:rFonts w:ascii="Arial" w:hAnsi="Arial" w:cs="Arial"/>
                <w:sz w:val="22"/>
                <w:szCs w:val="22"/>
                <w:lang w:val="uk-UA"/>
              </w:rPr>
              <w:t>6,16910</w:t>
            </w:r>
          </w:p>
        </w:tc>
      </w:tr>
    </w:tbl>
    <w:p w:rsidR="00FD67ED" w:rsidRPr="00243AB3" w:rsidRDefault="00FD67ED" w:rsidP="00FD67ED">
      <w:pPr>
        <w:pStyle w:val="a3"/>
        <w:ind w:firstLine="567"/>
        <w:jc w:val="both"/>
        <w:rPr>
          <w:rFonts w:cs="Arial"/>
          <w:b w:val="0"/>
          <w:color w:val="auto"/>
          <w:sz w:val="22"/>
          <w:szCs w:val="22"/>
        </w:rPr>
      </w:pPr>
    </w:p>
    <w:p w:rsidR="00FD67ED" w:rsidRPr="00243AB3" w:rsidRDefault="00FD67ED" w:rsidP="00FD67ED">
      <w:pPr>
        <w:pStyle w:val="a3"/>
        <w:ind w:firstLine="567"/>
        <w:jc w:val="both"/>
        <w:rPr>
          <w:rFonts w:cs="Arial"/>
          <w:b w:val="0"/>
          <w:color w:val="auto"/>
          <w:sz w:val="22"/>
          <w:szCs w:val="22"/>
        </w:rPr>
      </w:pPr>
      <w:r w:rsidRPr="00243AB3">
        <w:rPr>
          <w:rFonts w:cs="Arial"/>
          <w:b w:val="0"/>
          <w:color w:val="auto"/>
          <w:sz w:val="22"/>
          <w:szCs w:val="22"/>
        </w:rPr>
        <w:t>Реєстрація учасників зборів з 09-00 до 09-45 за місцем проведення зборів. Дата складання переліку акціонерів, які мають право на участь у загальних зборах – 02.04.20р.</w:t>
      </w:r>
    </w:p>
    <w:p w:rsidR="00FD67ED" w:rsidRPr="00243AB3" w:rsidRDefault="00FD67ED" w:rsidP="00FD67ED">
      <w:pPr>
        <w:pStyle w:val="a3"/>
        <w:ind w:firstLine="567"/>
        <w:jc w:val="both"/>
        <w:rPr>
          <w:rFonts w:cs="Arial"/>
          <w:b w:val="0"/>
          <w:color w:val="auto"/>
          <w:sz w:val="22"/>
          <w:szCs w:val="22"/>
        </w:rPr>
      </w:pPr>
      <w:r w:rsidRPr="00243AB3">
        <w:rPr>
          <w:rFonts w:cs="Arial"/>
          <w:b w:val="0"/>
          <w:color w:val="auto"/>
          <w:sz w:val="22"/>
          <w:szCs w:val="22"/>
        </w:rPr>
        <w:t>Адреса власного веб-сайту товариства http://rodos.com.ua.</w:t>
      </w:r>
    </w:p>
    <w:p w:rsidR="00FD67ED" w:rsidRPr="00243AB3" w:rsidRDefault="00FD67ED" w:rsidP="00FD67ED">
      <w:pPr>
        <w:pStyle w:val="a3"/>
        <w:ind w:firstLine="567"/>
        <w:jc w:val="both"/>
        <w:rPr>
          <w:rFonts w:cs="Arial"/>
          <w:b w:val="0"/>
          <w:color w:val="auto"/>
          <w:sz w:val="22"/>
          <w:szCs w:val="22"/>
        </w:rPr>
      </w:pPr>
      <w:r w:rsidRPr="00243AB3">
        <w:rPr>
          <w:rFonts w:cs="Arial"/>
          <w:b w:val="0"/>
          <w:color w:val="auto"/>
          <w:sz w:val="22"/>
          <w:szCs w:val="22"/>
        </w:rPr>
        <w:t>Від дати надіслання повідомлення до дня проведення загальних зборів акціонери можуть ознайомитись з матеріалами, необхідними для прийняття рішень з питань порядку денного загальних зборів, у робочий час в робочі дні за місцезнаходженням товариства кімн. №2, а в день проведення загальних зборів в місці їх проведення. Відповідальний за порядок ознайомлення з документами – директор Рябко В.І.</w:t>
      </w:r>
    </w:p>
    <w:p w:rsidR="00FD67ED" w:rsidRPr="00243AB3" w:rsidRDefault="00FD67ED" w:rsidP="00FD67ED">
      <w:pPr>
        <w:pStyle w:val="a3"/>
        <w:ind w:firstLine="567"/>
        <w:jc w:val="both"/>
        <w:rPr>
          <w:rFonts w:cs="Arial"/>
          <w:b w:val="0"/>
          <w:sz w:val="22"/>
          <w:szCs w:val="22"/>
        </w:rPr>
      </w:pPr>
      <w:r w:rsidRPr="00243AB3">
        <w:rPr>
          <w:rFonts w:cs="Arial"/>
          <w:b w:val="0"/>
          <w:sz w:val="22"/>
          <w:szCs w:val="22"/>
        </w:rPr>
        <w:t>Після надіслання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w:t>
      </w:r>
    </w:p>
    <w:p w:rsidR="00FD67ED" w:rsidRPr="00243AB3" w:rsidRDefault="00FD67ED" w:rsidP="00FD67ED">
      <w:pPr>
        <w:pStyle w:val="a3"/>
        <w:ind w:firstLine="567"/>
        <w:jc w:val="both"/>
        <w:rPr>
          <w:rFonts w:cs="Arial"/>
          <w:b w:val="0"/>
          <w:sz w:val="22"/>
          <w:szCs w:val="22"/>
        </w:rPr>
      </w:pPr>
      <w:r w:rsidRPr="00243AB3">
        <w:rPr>
          <w:rFonts w:cs="Arial"/>
          <w:b w:val="0"/>
          <w:sz w:val="22"/>
          <w:szCs w:val="22"/>
        </w:rPr>
        <w:t>Товариство до початку загальних зборів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w:t>
      </w:r>
    </w:p>
    <w:p w:rsidR="00FD67ED" w:rsidRPr="00243AB3" w:rsidRDefault="00FD67ED" w:rsidP="00FD67ED">
      <w:pPr>
        <w:pStyle w:val="a3"/>
        <w:ind w:firstLine="567"/>
        <w:jc w:val="both"/>
        <w:rPr>
          <w:rFonts w:cs="Arial"/>
          <w:b w:val="0"/>
          <w:sz w:val="22"/>
          <w:szCs w:val="22"/>
        </w:rPr>
      </w:pPr>
      <w:r w:rsidRPr="00243AB3">
        <w:rPr>
          <w:rFonts w:cs="Arial"/>
          <w:b w:val="0"/>
          <w:sz w:val="22"/>
          <w:szCs w:val="22"/>
        </w:rPr>
        <w:t xml:space="preserve">Акціонер має право внести пропозиції щодо питань, включених до проекту порядку денного загальних зборів акціонерного товариства.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Пропозиції вносяться не пізніше ніж за 20 днів до дати проведення загальних зборів </w:t>
      </w:r>
      <w:r w:rsidRPr="00243AB3">
        <w:rPr>
          <w:rFonts w:cs="Arial"/>
          <w:b w:val="0"/>
          <w:sz w:val="22"/>
          <w:szCs w:val="22"/>
        </w:rPr>
        <w:lastRenderedPageBreak/>
        <w:t>акціонерного товариства.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та типу належних йому акцій, змісту пропозиції до питання та/або проекту рішення.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Мотивоване рішення про відмову у включенні пропозиції до проекту порядку денного загальних зборів надсилається наглядовою радою акціонеру протягом трьох днів з моменту його прийняття.</w:t>
      </w:r>
    </w:p>
    <w:p w:rsidR="007E2F61" w:rsidRDefault="00FD67ED" w:rsidP="00FD67ED">
      <w:pPr>
        <w:rPr>
          <w:lang w:val="uk-UA"/>
        </w:rPr>
      </w:pPr>
      <w:r w:rsidRPr="00243AB3">
        <w:rPr>
          <w:rFonts w:ascii="Arial" w:hAnsi="Arial" w:cs="Arial"/>
          <w:sz w:val="22"/>
          <w:szCs w:val="22"/>
          <w:lang w:val="uk-UA"/>
        </w:rPr>
        <w:t xml:space="preserve">Для участі у загальних зборах акціонер повинен надати паспорт, а представник акціонера паспорт та довіреність на право участі у зборах. </w:t>
      </w:r>
      <w:r w:rsidRPr="00243AB3">
        <w:rPr>
          <w:rFonts w:ascii="Arial" w:hAnsi="Arial" w:cs="Arial"/>
          <w:color w:val="000000"/>
          <w:sz w:val="22"/>
          <w:szCs w:val="22"/>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Національною комісією з цінних паперів та фондового ринку.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r w:rsidRPr="00243AB3">
        <w:rPr>
          <w:rFonts w:ascii="Arial" w:hAnsi="Arial" w:cs="Arial"/>
          <w:sz w:val="22"/>
          <w:szCs w:val="22"/>
          <w:lang w:val="uk-UA"/>
        </w:rPr>
        <w:t xml:space="preserve"> </w:t>
      </w:r>
      <w:r w:rsidRPr="00243AB3">
        <w:rPr>
          <w:rFonts w:ascii="Arial" w:hAnsi="Arial" w:cs="Arial"/>
          <w:color w:val="000000"/>
          <w:sz w:val="22"/>
          <w:szCs w:val="22"/>
          <w:lang w:val="uk-UA"/>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8" w:name="n526"/>
      <w:bookmarkEnd w:id="8"/>
      <w:r w:rsidRPr="00243AB3">
        <w:rPr>
          <w:rFonts w:ascii="Arial" w:hAnsi="Arial" w:cs="Arial"/>
          <w:color w:val="000000"/>
          <w:sz w:val="22"/>
          <w:szCs w:val="22"/>
          <w:lang w:val="uk-UA"/>
        </w:rPr>
        <w:t xml:space="preserve"> Акціонер має право видати довіреність на право участі та голосування на загальних зборах декільком своїм представникам.</w:t>
      </w:r>
      <w:r w:rsidRPr="00243AB3">
        <w:rPr>
          <w:rFonts w:ascii="Arial" w:hAnsi="Arial" w:cs="Arial"/>
          <w:sz w:val="22"/>
          <w:szCs w:val="22"/>
          <w:lang w:val="uk-UA"/>
        </w:rPr>
        <w:t xml:space="preserve"> </w:t>
      </w:r>
      <w:r w:rsidRPr="00243AB3">
        <w:rPr>
          <w:rFonts w:ascii="Arial" w:hAnsi="Arial" w:cs="Arial"/>
          <w:color w:val="000000"/>
          <w:sz w:val="22"/>
          <w:szCs w:val="22"/>
          <w:lang w:val="uk-UA"/>
        </w:rPr>
        <w:t>Акціонер має право у будь-який час відкликати чи замінити свого представника на загальних зборах.</w:t>
      </w:r>
      <w:bookmarkStart w:id="9" w:name="n529"/>
      <w:bookmarkEnd w:id="9"/>
      <w:r w:rsidRPr="00243AB3">
        <w:rPr>
          <w:rFonts w:ascii="Arial" w:hAnsi="Arial" w:cs="Arial"/>
          <w:color w:val="000000"/>
          <w:sz w:val="22"/>
          <w:szCs w:val="22"/>
          <w:lang w:val="uk-UA"/>
        </w:rPr>
        <w:t xml:space="preserve">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AF1BC3" w:rsidRPr="00AF1BC3" w:rsidRDefault="00AF1BC3" w:rsidP="00AF1BC3">
      <w:pPr>
        <w:pStyle w:val="rvps2"/>
        <w:spacing w:before="0" w:beforeAutospacing="0" w:after="0" w:afterAutospacing="0"/>
        <w:ind w:firstLine="301"/>
        <w:jc w:val="both"/>
        <w:rPr>
          <w:rFonts w:ascii="Arial" w:hAnsi="Arial" w:cs="Arial"/>
          <w:sz w:val="22"/>
          <w:szCs w:val="22"/>
        </w:rPr>
      </w:pPr>
      <w:bookmarkStart w:id="10" w:name="_GoBack"/>
      <w:bookmarkEnd w:id="10"/>
      <w:r>
        <w:rPr>
          <w:rFonts w:ascii="Arial" w:hAnsi="Arial" w:cs="Arial"/>
          <w:sz w:val="22"/>
          <w:szCs w:val="22"/>
        </w:rPr>
        <w:t xml:space="preserve">Станом на дату складання переліку осіб, яким надсилається повідомлення про проведення </w:t>
      </w:r>
      <w:r w:rsidRPr="00AF1BC3">
        <w:rPr>
          <w:rFonts w:ascii="Arial" w:hAnsi="Arial" w:cs="Arial"/>
          <w:sz w:val="22"/>
          <w:szCs w:val="22"/>
        </w:rPr>
        <w:t>загальних зборів, загальна кількість акцій товариства становить 1674188 шт.,</w:t>
      </w:r>
      <w:r w:rsidRPr="00AF1BC3">
        <w:rPr>
          <w:rFonts w:ascii="Arial" w:hAnsi="Arial" w:cs="Arial"/>
          <w:color w:val="FF0000"/>
          <w:sz w:val="22"/>
          <w:szCs w:val="22"/>
        </w:rPr>
        <w:t xml:space="preserve"> </w:t>
      </w:r>
      <w:r w:rsidRPr="00AF1BC3">
        <w:rPr>
          <w:rFonts w:ascii="Arial" w:hAnsi="Arial" w:cs="Arial"/>
          <w:sz w:val="22"/>
          <w:szCs w:val="22"/>
        </w:rPr>
        <w:t>загальна кількість голосуючих акцій становить</w:t>
      </w:r>
      <w:r w:rsidRPr="00AF1BC3">
        <w:rPr>
          <w:rFonts w:ascii="Arial" w:hAnsi="Arial" w:cs="Arial"/>
          <w:color w:val="FF0000"/>
          <w:sz w:val="22"/>
          <w:szCs w:val="22"/>
        </w:rPr>
        <w:t xml:space="preserve"> </w:t>
      </w:r>
      <w:r w:rsidRPr="00AF1BC3">
        <w:rPr>
          <w:rFonts w:ascii="Arial" w:hAnsi="Arial" w:cs="Arial"/>
          <w:color w:val="000000"/>
          <w:sz w:val="22"/>
          <w:szCs w:val="22"/>
        </w:rPr>
        <w:t>1 618 143</w:t>
      </w:r>
      <w:r w:rsidRPr="00AF1BC3">
        <w:rPr>
          <w:rFonts w:ascii="Arial" w:hAnsi="Arial" w:cs="Arial"/>
          <w:color w:val="FF0000"/>
          <w:sz w:val="22"/>
          <w:szCs w:val="22"/>
        </w:rPr>
        <w:t xml:space="preserve"> </w:t>
      </w:r>
      <w:r w:rsidRPr="00AF1BC3">
        <w:rPr>
          <w:rFonts w:ascii="Arial" w:hAnsi="Arial" w:cs="Arial"/>
          <w:sz w:val="22"/>
          <w:szCs w:val="22"/>
        </w:rPr>
        <w:t>шт.</w:t>
      </w:r>
    </w:p>
    <w:p w:rsidR="00AF1BC3" w:rsidRPr="00243AB3" w:rsidRDefault="00AF1BC3" w:rsidP="00AF1BC3">
      <w:pPr>
        <w:rPr>
          <w:lang w:val="uk-UA"/>
        </w:rPr>
      </w:pPr>
    </w:p>
    <w:sectPr w:rsidR="00AF1BC3" w:rsidRPr="00243AB3" w:rsidSect="00495188">
      <w:pgSz w:w="11906" w:h="16838"/>
      <w:pgMar w:top="851" w:right="85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7ED"/>
    <w:rsid w:val="00243AB3"/>
    <w:rsid w:val="00495188"/>
    <w:rsid w:val="007E2F61"/>
    <w:rsid w:val="00AF1BC3"/>
    <w:rsid w:val="00C669BB"/>
    <w:rsid w:val="00FD67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C199C-F099-4FC9-AB32-26954245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7ED"/>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D67ED"/>
    <w:pPr>
      <w:jc w:val="center"/>
    </w:pPr>
    <w:rPr>
      <w:rFonts w:ascii="Arial" w:hAnsi="Arial"/>
      <w:b/>
      <w:noProof/>
      <w:snapToGrid w:val="0"/>
      <w:color w:val="000000"/>
      <w:sz w:val="20"/>
      <w:szCs w:val="20"/>
      <w:lang w:val="uk-UA"/>
    </w:rPr>
  </w:style>
  <w:style w:type="character" w:customStyle="1" w:styleId="a4">
    <w:name w:val="Основной текст Знак"/>
    <w:basedOn w:val="a0"/>
    <w:link w:val="a3"/>
    <w:rsid w:val="00FD67ED"/>
    <w:rPr>
      <w:rFonts w:ascii="Arial" w:eastAsia="Times New Roman" w:hAnsi="Arial" w:cs="Times New Roman"/>
      <w:b/>
      <w:noProof/>
      <w:snapToGrid w:val="0"/>
      <w:color w:val="000000"/>
      <w:sz w:val="20"/>
      <w:szCs w:val="20"/>
      <w:lang w:eastAsia="ru-RU"/>
    </w:rPr>
  </w:style>
  <w:style w:type="paragraph" w:styleId="a5">
    <w:name w:val="Title"/>
    <w:basedOn w:val="a"/>
    <w:link w:val="a6"/>
    <w:qFormat/>
    <w:rsid w:val="00FD67ED"/>
    <w:pPr>
      <w:jc w:val="center"/>
    </w:pPr>
    <w:rPr>
      <w:rFonts w:ascii="Arial" w:hAnsi="Arial"/>
      <w:b/>
      <w:szCs w:val="20"/>
    </w:rPr>
  </w:style>
  <w:style w:type="character" w:customStyle="1" w:styleId="a6">
    <w:name w:val="Название Знак"/>
    <w:basedOn w:val="a0"/>
    <w:link w:val="a5"/>
    <w:rsid w:val="00FD67ED"/>
    <w:rPr>
      <w:rFonts w:ascii="Arial" w:eastAsia="Times New Roman" w:hAnsi="Arial" w:cs="Times New Roman"/>
      <w:b/>
      <w:sz w:val="24"/>
      <w:szCs w:val="20"/>
      <w:lang w:val="ru-RU" w:eastAsia="ru-RU"/>
    </w:rPr>
  </w:style>
  <w:style w:type="character" w:customStyle="1" w:styleId="xfm01618953">
    <w:name w:val="xfm_01618953"/>
    <w:rsid w:val="00FD67ED"/>
    <w:rPr>
      <w:rFonts w:cs="Times New Roman"/>
    </w:rPr>
  </w:style>
  <w:style w:type="character" w:styleId="a7">
    <w:name w:val="Strong"/>
    <w:qFormat/>
    <w:rsid w:val="00FD67ED"/>
    <w:rPr>
      <w:b/>
      <w:bCs/>
    </w:rPr>
  </w:style>
  <w:style w:type="paragraph" w:customStyle="1" w:styleId="rvps2">
    <w:name w:val="rvps2"/>
    <w:basedOn w:val="a"/>
    <w:rsid w:val="00AF1BC3"/>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5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3852</Words>
  <Characters>2196</Characters>
  <Application>Microsoft Office Word</Application>
  <DocSecurity>0</DocSecurity>
  <Lines>18</Lines>
  <Paragraphs>12</Paragraphs>
  <ScaleCrop>false</ScaleCrop>
  <Company>Hewlett-Packard</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TROYA</dc:creator>
  <cp:keywords/>
  <dc:description/>
  <cp:lastModifiedBy>TROYA</cp:lastModifiedBy>
  <cp:revision>4</cp:revision>
  <dcterms:created xsi:type="dcterms:W3CDTF">2020-03-05T11:28:00Z</dcterms:created>
  <dcterms:modified xsi:type="dcterms:W3CDTF">2020-03-06T08:15:00Z</dcterms:modified>
</cp:coreProperties>
</file>